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Default="00C02AF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854553">
        <w:rPr>
          <w:rFonts w:ascii="Palatino Linotype" w:hAnsi="Palatino Linotype" w:cs="Arial"/>
          <w:b/>
          <w:sz w:val="24"/>
          <w:szCs w:val="24"/>
        </w:rPr>
        <w:t>0</w:t>
      </w:r>
      <w:r w:rsidR="000226DE">
        <w:rPr>
          <w:rFonts w:ascii="Palatino Linotype" w:hAnsi="Palatino Linotype" w:cs="Arial"/>
          <w:b/>
          <w:sz w:val="24"/>
          <w:szCs w:val="24"/>
        </w:rPr>
        <w:t>3022</w:t>
      </w:r>
      <w:r w:rsidR="00625340" w:rsidRPr="002E02EC">
        <w:rPr>
          <w:rFonts w:ascii="Palatino Linotype" w:hAnsi="Palatino Linotype" w:cs="Arial"/>
          <w:b/>
          <w:sz w:val="24"/>
          <w:szCs w:val="24"/>
        </w:rPr>
        <w:t>/INFOEM/IP/RR/201</w:t>
      </w:r>
      <w:r w:rsidR="00C142A8">
        <w:rPr>
          <w:rFonts w:ascii="Palatino Linotype" w:hAnsi="Palatino Linotype" w:cs="Arial"/>
          <w:b/>
          <w:sz w:val="24"/>
          <w:szCs w:val="24"/>
        </w:rPr>
        <w:t>8</w:t>
      </w:r>
      <w:r w:rsidR="000226DE">
        <w:rPr>
          <w:rFonts w:ascii="Palatino Linotype" w:hAnsi="Palatino Linotype" w:cs="Arial"/>
          <w:b/>
          <w:sz w:val="24"/>
          <w:szCs w:val="24"/>
        </w:rPr>
        <w:t>.</w:t>
      </w:r>
    </w:p>
    <w:p w:rsidR="00625340" w:rsidRPr="006773C0" w:rsidRDefault="00625340" w:rsidP="00625340">
      <w:pPr>
        <w:spacing w:after="0" w:line="360" w:lineRule="auto"/>
        <w:jc w:val="both"/>
        <w:rPr>
          <w:rFonts w:ascii="Palatino Linotype" w:hAnsi="Palatino Linotype" w:cs="Arial"/>
          <w:b/>
          <w:sz w:val="24"/>
          <w:szCs w:val="24"/>
        </w:rPr>
      </w:pPr>
    </w:p>
    <w:p w:rsidR="006773C0" w:rsidRDefault="002D5499"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Resumen del voto</w:t>
      </w:r>
      <w:r w:rsidR="00625340" w:rsidRPr="006773C0">
        <w:rPr>
          <w:rFonts w:ascii="Palatino Linotype" w:hAnsi="Palatino Linotype" w:cs="Arial"/>
          <w:b/>
          <w:sz w:val="24"/>
          <w:szCs w:val="24"/>
        </w:rPr>
        <w:t>:</w:t>
      </w:r>
      <w:r w:rsidR="00F7333F">
        <w:rPr>
          <w:rFonts w:ascii="Palatino Linotype" w:hAnsi="Palatino Linotype" w:cs="Arial"/>
          <w:b/>
          <w:sz w:val="24"/>
          <w:szCs w:val="24"/>
        </w:rPr>
        <w:t xml:space="preserve"> </w:t>
      </w:r>
      <w:r w:rsidR="00E419FE">
        <w:rPr>
          <w:rFonts w:ascii="Palatino Linotype" w:hAnsi="Palatino Linotype" w:cs="Arial"/>
          <w:sz w:val="24"/>
          <w:szCs w:val="24"/>
        </w:rPr>
        <w:t>E</w:t>
      </w:r>
      <w:r w:rsidR="00DF36B0">
        <w:rPr>
          <w:rFonts w:ascii="Palatino Linotype" w:hAnsi="Palatino Linotype" w:cs="Arial"/>
          <w:sz w:val="24"/>
          <w:szCs w:val="24"/>
        </w:rPr>
        <w:t>l presente voto</w:t>
      </w:r>
      <w:r w:rsidR="00DB6CC1">
        <w:rPr>
          <w:rFonts w:ascii="Palatino Linotype" w:hAnsi="Palatino Linotype" w:cs="Arial"/>
          <w:sz w:val="24"/>
          <w:szCs w:val="24"/>
        </w:rPr>
        <w:t xml:space="preserve"> particular</w:t>
      </w:r>
      <w:r w:rsidR="00DF36B0">
        <w:rPr>
          <w:rFonts w:ascii="Palatino Linotype" w:hAnsi="Palatino Linotype" w:cs="Arial"/>
          <w:sz w:val="24"/>
          <w:szCs w:val="24"/>
        </w:rPr>
        <w:t xml:space="preserve"> </w:t>
      </w:r>
      <w:r w:rsidR="00DB6CC1">
        <w:rPr>
          <w:rFonts w:ascii="Palatino Linotype" w:hAnsi="Palatino Linotype" w:cs="Arial"/>
          <w:sz w:val="24"/>
          <w:szCs w:val="24"/>
        </w:rPr>
        <w:t>señala</w:t>
      </w:r>
      <w:r w:rsidR="005F53BB">
        <w:rPr>
          <w:rFonts w:ascii="Palatino Linotype" w:hAnsi="Palatino Linotype" w:cs="Arial"/>
          <w:sz w:val="24"/>
          <w:szCs w:val="24"/>
        </w:rPr>
        <w:t xml:space="preserve"> que</w:t>
      </w:r>
      <w:r w:rsidR="00F7333F">
        <w:rPr>
          <w:rFonts w:ascii="Palatino Linotype" w:hAnsi="Palatino Linotype" w:cs="Arial"/>
          <w:b/>
          <w:sz w:val="24"/>
          <w:szCs w:val="24"/>
        </w:rPr>
        <w:t xml:space="preserve"> </w:t>
      </w:r>
      <w:r w:rsidR="00DF36B0" w:rsidRPr="00DB6CC1">
        <w:rPr>
          <w:rFonts w:ascii="Palatino Linotype" w:hAnsi="Palatino Linotype" w:cs="Arial"/>
          <w:sz w:val="24"/>
          <w:szCs w:val="24"/>
        </w:rPr>
        <w:t xml:space="preserve">el riesgo </w:t>
      </w:r>
      <w:r w:rsidR="005F53BB">
        <w:rPr>
          <w:rFonts w:ascii="Palatino Linotype" w:hAnsi="Palatino Linotype" w:cs="Arial"/>
          <w:sz w:val="24"/>
          <w:szCs w:val="24"/>
        </w:rPr>
        <w:t>generado al</w:t>
      </w:r>
      <w:r w:rsidR="00DF36B0" w:rsidRPr="00DB6CC1">
        <w:rPr>
          <w:rFonts w:ascii="Palatino Linotype" w:hAnsi="Palatino Linotype" w:cs="Arial"/>
          <w:sz w:val="24"/>
          <w:szCs w:val="24"/>
        </w:rPr>
        <w:t xml:space="preserve"> suplir las deficiencias de los Sujetos Obligados e</w:t>
      </w:r>
      <w:r w:rsidR="005F53BB">
        <w:rPr>
          <w:rFonts w:ascii="Palatino Linotype" w:hAnsi="Palatino Linotype" w:cs="Arial"/>
          <w:sz w:val="24"/>
          <w:szCs w:val="24"/>
        </w:rPr>
        <w:t>s mayor al beneficio brindado</w:t>
      </w:r>
      <w:r w:rsidR="00DF36B0" w:rsidRPr="00DB6CC1">
        <w:rPr>
          <w:rFonts w:ascii="Palatino Linotype" w:hAnsi="Palatino Linotype" w:cs="Arial"/>
          <w:sz w:val="24"/>
          <w:szCs w:val="24"/>
        </w:rPr>
        <w:t>, puesto que considero firmemente que</w:t>
      </w:r>
      <w:r w:rsidR="00E419FE">
        <w:rPr>
          <w:rFonts w:ascii="Palatino Linotype" w:hAnsi="Palatino Linotype" w:cs="Arial"/>
          <w:sz w:val="24"/>
          <w:szCs w:val="24"/>
        </w:rPr>
        <w:t>,</w:t>
      </w:r>
      <w:r w:rsidR="00DF36B0" w:rsidRPr="00DB6CC1">
        <w:rPr>
          <w:rFonts w:ascii="Palatino Linotype" w:hAnsi="Palatino Linotype" w:cs="Arial"/>
          <w:sz w:val="24"/>
          <w:szCs w:val="24"/>
        </w:rPr>
        <w:t xml:space="preserve"> con dichas acci</w:t>
      </w:r>
      <w:r w:rsidR="00C142A8">
        <w:rPr>
          <w:rFonts w:ascii="Palatino Linotype" w:hAnsi="Palatino Linotype" w:cs="Arial"/>
          <w:sz w:val="24"/>
          <w:szCs w:val="24"/>
        </w:rPr>
        <w:t>ones</w:t>
      </w:r>
      <w:r w:rsidR="004074C0">
        <w:rPr>
          <w:rFonts w:ascii="Palatino Linotype" w:hAnsi="Palatino Linotype" w:cs="Arial"/>
          <w:sz w:val="24"/>
          <w:szCs w:val="24"/>
        </w:rPr>
        <w:t xml:space="preserve"> se consiente la falta de compromi</w:t>
      </w:r>
      <w:r w:rsidR="007D69A7">
        <w:rPr>
          <w:rFonts w:ascii="Palatino Linotype" w:hAnsi="Palatino Linotype" w:cs="Arial"/>
          <w:sz w:val="24"/>
          <w:szCs w:val="24"/>
        </w:rPr>
        <w:t>so por parte de las autoridades para responder de manera completa y oportuna</w:t>
      </w:r>
      <w:r w:rsidR="00DF36B0" w:rsidRPr="00DB6CC1">
        <w:rPr>
          <w:rFonts w:ascii="Palatino Linotype" w:hAnsi="Palatino Linotype" w:cs="Arial"/>
          <w:sz w:val="24"/>
          <w:szCs w:val="24"/>
        </w:rPr>
        <w:t xml:space="preserve"> las solicitudes </w:t>
      </w:r>
      <w:r w:rsidR="00C142A8">
        <w:rPr>
          <w:rFonts w:ascii="Palatino Linotype" w:hAnsi="Palatino Linotype" w:cs="Arial"/>
          <w:sz w:val="24"/>
          <w:szCs w:val="24"/>
        </w:rPr>
        <w:t>de acceso a la</w:t>
      </w:r>
      <w:r w:rsidR="00DF36B0" w:rsidRPr="00DB6CC1">
        <w:rPr>
          <w:rFonts w:ascii="Palatino Linotype" w:hAnsi="Palatino Linotype" w:cs="Arial"/>
          <w:sz w:val="24"/>
          <w:szCs w:val="24"/>
        </w:rPr>
        <w:t xml:space="preserve"> información, </w:t>
      </w:r>
      <w:r w:rsidR="00E419FE">
        <w:rPr>
          <w:rFonts w:ascii="Palatino Linotype" w:hAnsi="Palatino Linotype" w:cs="Arial"/>
          <w:sz w:val="24"/>
          <w:szCs w:val="24"/>
        </w:rPr>
        <w:t>y en consecuencia, se provoca</w:t>
      </w:r>
      <w:r w:rsidR="00DF36B0" w:rsidRPr="00DB6CC1">
        <w:rPr>
          <w:rFonts w:ascii="Palatino Linotype" w:hAnsi="Palatino Linotype" w:cs="Arial"/>
          <w:sz w:val="24"/>
          <w:szCs w:val="24"/>
        </w:rPr>
        <w:t xml:space="preserve"> también, que en </w:t>
      </w:r>
      <w:r w:rsidR="00F9751B">
        <w:rPr>
          <w:rFonts w:ascii="Palatino Linotype" w:hAnsi="Palatino Linotype" w:cs="Arial"/>
          <w:sz w:val="24"/>
          <w:szCs w:val="24"/>
        </w:rPr>
        <w:t>actos</w:t>
      </w:r>
      <w:r w:rsidR="00DF36B0" w:rsidRPr="00DB6CC1">
        <w:rPr>
          <w:rFonts w:ascii="Palatino Linotype" w:hAnsi="Palatino Linotype" w:cs="Arial"/>
          <w:sz w:val="24"/>
          <w:szCs w:val="24"/>
        </w:rPr>
        <w:t xml:space="preserve"> </w:t>
      </w:r>
      <w:r w:rsidR="007D69A7">
        <w:rPr>
          <w:rFonts w:ascii="Palatino Linotype" w:hAnsi="Palatino Linotype" w:cs="Arial"/>
          <w:sz w:val="24"/>
          <w:szCs w:val="24"/>
        </w:rPr>
        <w:t xml:space="preserve">futuros se omita </w:t>
      </w:r>
      <w:r w:rsidR="004C273D">
        <w:rPr>
          <w:rFonts w:ascii="Palatino Linotype" w:hAnsi="Palatino Linotype" w:cs="Arial"/>
          <w:sz w:val="24"/>
          <w:szCs w:val="24"/>
        </w:rPr>
        <w:t>cumplir</w:t>
      </w:r>
      <w:r w:rsidR="00C142A8">
        <w:rPr>
          <w:rFonts w:ascii="Palatino Linotype" w:hAnsi="Palatino Linotype" w:cs="Arial"/>
          <w:sz w:val="24"/>
          <w:szCs w:val="24"/>
        </w:rPr>
        <w:t xml:space="preserve"> con la obligación de seguir el procedimiento que establece </w:t>
      </w:r>
      <w:r w:rsidR="00DF36B0" w:rsidRPr="00DB6CC1">
        <w:rPr>
          <w:rFonts w:ascii="Palatino Linotype" w:hAnsi="Palatino Linotype" w:cs="Arial"/>
          <w:sz w:val="24"/>
          <w:szCs w:val="24"/>
        </w:rPr>
        <w:t>la Ley de Transparencia y Acceso a la Información Pública del Estado de México y Municipios</w:t>
      </w:r>
      <w:r w:rsidR="004C273D">
        <w:rPr>
          <w:rFonts w:ascii="Palatino Linotype" w:hAnsi="Palatino Linotype" w:cs="Arial"/>
          <w:sz w:val="24"/>
          <w:szCs w:val="24"/>
        </w:rPr>
        <w:t xml:space="preserve"> para dar cumplimiento al mandato constitucional.</w:t>
      </w: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p w:rsidR="000226DE" w:rsidRDefault="000226DE" w:rsidP="00625340">
      <w:pPr>
        <w:spacing w:after="0" w:line="360" w:lineRule="auto"/>
        <w:jc w:val="both"/>
        <w:rPr>
          <w:rFonts w:ascii="Palatino Linotype" w:hAnsi="Palatino Linotype" w:cs="Arial"/>
          <w:b/>
          <w:sz w:val="24"/>
          <w:szCs w:val="24"/>
        </w:rPr>
      </w:pPr>
    </w:p>
    <w:p w:rsidR="00A2127D" w:rsidRDefault="00A2127D" w:rsidP="00625340">
      <w:pPr>
        <w:spacing w:after="0" w:line="360" w:lineRule="auto"/>
        <w:jc w:val="both"/>
        <w:rPr>
          <w:rFonts w:ascii="Palatino Linotype" w:hAnsi="Palatino Linotype" w:cs="Arial"/>
          <w:b/>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25332E" w:rsidRDefault="00625340">
          <w:pPr>
            <w:pStyle w:val="TtulodeTDC"/>
            <w:rPr>
              <w:szCs w:val="24"/>
            </w:rPr>
          </w:pPr>
          <w:r w:rsidRPr="0025332E">
            <w:rPr>
              <w:szCs w:val="24"/>
              <w:lang w:val="es-ES"/>
            </w:rPr>
            <w:t>Índice</w:t>
          </w:r>
        </w:p>
        <w:p w:rsidR="00854553" w:rsidRDefault="00625340">
          <w:pPr>
            <w:pStyle w:val="TDC1"/>
            <w:tabs>
              <w:tab w:val="left" w:pos="440"/>
              <w:tab w:val="right" w:leader="dot" w:pos="8828"/>
            </w:tabs>
            <w:rPr>
              <w:rFonts w:eastAsiaTheme="minorEastAsia"/>
              <w:noProof/>
              <w:lang w:eastAsia="es-MX"/>
            </w:rPr>
          </w:pPr>
          <w:r w:rsidRPr="0025332E">
            <w:rPr>
              <w:rFonts w:ascii="Palatino Linotype" w:hAnsi="Palatino Linotype"/>
              <w:b/>
              <w:sz w:val="24"/>
              <w:szCs w:val="24"/>
            </w:rPr>
            <w:fldChar w:fldCharType="begin"/>
          </w:r>
          <w:r w:rsidRPr="0025332E">
            <w:rPr>
              <w:rFonts w:ascii="Palatino Linotype" w:hAnsi="Palatino Linotype"/>
              <w:b/>
              <w:sz w:val="24"/>
              <w:szCs w:val="24"/>
            </w:rPr>
            <w:instrText xml:space="preserve"> TOC \o "1-3" \h \z \u </w:instrText>
          </w:r>
          <w:r w:rsidRPr="0025332E">
            <w:rPr>
              <w:rFonts w:ascii="Palatino Linotype" w:hAnsi="Palatino Linotype"/>
              <w:b/>
              <w:sz w:val="24"/>
              <w:szCs w:val="24"/>
            </w:rPr>
            <w:fldChar w:fldCharType="separate"/>
          </w:r>
          <w:hyperlink w:anchor="_Toc527987674" w:history="1">
            <w:r w:rsidR="00854553" w:rsidRPr="008E7932">
              <w:rPr>
                <w:rStyle w:val="Hipervnculo"/>
                <w:noProof/>
              </w:rPr>
              <w:t>I.</w:t>
            </w:r>
            <w:r w:rsidR="00854553">
              <w:rPr>
                <w:rFonts w:eastAsiaTheme="minorEastAsia"/>
                <w:noProof/>
                <w:lang w:eastAsia="es-MX"/>
              </w:rPr>
              <w:tab/>
            </w:r>
            <w:r w:rsidR="00854553" w:rsidRPr="008E7932">
              <w:rPr>
                <w:rStyle w:val="Hipervnculo"/>
                <w:noProof/>
              </w:rPr>
              <w:t>Consideraciones Generales.</w:t>
            </w:r>
            <w:r w:rsidR="00854553">
              <w:rPr>
                <w:noProof/>
                <w:webHidden/>
              </w:rPr>
              <w:tab/>
            </w:r>
            <w:r w:rsidR="00854553">
              <w:rPr>
                <w:noProof/>
                <w:webHidden/>
              </w:rPr>
              <w:fldChar w:fldCharType="begin"/>
            </w:r>
            <w:r w:rsidR="00854553">
              <w:rPr>
                <w:noProof/>
                <w:webHidden/>
              </w:rPr>
              <w:instrText xml:space="preserve"> PAGEREF _Toc527987674 \h </w:instrText>
            </w:r>
            <w:r w:rsidR="00854553">
              <w:rPr>
                <w:noProof/>
                <w:webHidden/>
              </w:rPr>
            </w:r>
            <w:r w:rsidR="00854553">
              <w:rPr>
                <w:noProof/>
                <w:webHidden/>
              </w:rPr>
              <w:fldChar w:fldCharType="separate"/>
            </w:r>
            <w:r w:rsidR="00C30AE9">
              <w:rPr>
                <w:noProof/>
                <w:webHidden/>
              </w:rPr>
              <w:t>2</w:t>
            </w:r>
            <w:r w:rsidR="00854553">
              <w:rPr>
                <w:noProof/>
                <w:webHidden/>
              </w:rPr>
              <w:fldChar w:fldCharType="end"/>
            </w:r>
          </w:hyperlink>
        </w:p>
        <w:p w:rsidR="00854553" w:rsidRDefault="006E6A60">
          <w:pPr>
            <w:pStyle w:val="TDC1"/>
            <w:tabs>
              <w:tab w:val="left" w:pos="440"/>
              <w:tab w:val="right" w:leader="dot" w:pos="8828"/>
            </w:tabs>
            <w:rPr>
              <w:rFonts w:eastAsiaTheme="minorEastAsia"/>
              <w:noProof/>
              <w:lang w:eastAsia="es-MX"/>
            </w:rPr>
          </w:pPr>
          <w:hyperlink w:anchor="_Toc527987675" w:history="1">
            <w:r w:rsidR="00854553" w:rsidRPr="008E7932">
              <w:rPr>
                <w:rStyle w:val="Hipervnculo"/>
                <w:noProof/>
              </w:rPr>
              <w:t>II.</w:t>
            </w:r>
            <w:r w:rsidR="00854553">
              <w:rPr>
                <w:rFonts w:eastAsiaTheme="minorEastAsia"/>
                <w:noProof/>
                <w:lang w:eastAsia="es-MX"/>
              </w:rPr>
              <w:tab/>
            </w:r>
            <w:r w:rsidR="00854553" w:rsidRPr="008E7932">
              <w:rPr>
                <w:rStyle w:val="Hipervnculo"/>
                <w:noProof/>
              </w:rPr>
              <w:t>Del Procedimiento de Acceso a la Información Pública.</w:t>
            </w:r>
            <w:r w:rsidR="00854553">
              <w:rPr>
                <w:noProof/>
                <w:webHidden/>
              </w:rPr>
              <w:tab/>
            </w:r>
            <w:r w:rsidR="00854553">
              <w:rPr>
                <w:noProof/>
                <w:webHidden/>
              </w:rPr>
              <w:fldChar w:fldCharType="begin"/>
            </w:r>
            <w:r w:rsidR="00854553">
              <w:rPr>
                <w:noProof/>
                <w:webHidden/>
              </w:rPr>
              <w:instrText xml:space="preserve"> PAGEREF _Toc527987675 \h </w:instrText>
            </w:r>
            <w:r w:rsidR="00854553">
              <w:rPr>
                <w:noProof/>
                <w:webHidden/>
              </w:rPr>
            </w:r>
            <w:r w:rsidR="00854553">
              <w:rPr>
                <w:noProof/>
                <w:webHidden/>
              </w:rPr>
              <w:fldChar w:fldCharType="separate"/>
            </w:r>
            <w:r w:rsidR="00C30AE9">
              <w:rPr>
                <w:noProof/>
                <w:webHidden/>
              </w:rPr>
              <w:t>3</w:t>
            </w:r>
            <w:r w:rsidR="00854553">
              <w:rPr>
                <w:noProof/>
                <w:webHidden/>
              </w:rPr>
              <w:fldChar w:fldCharType="end"/>
            </w:r>
          </w:hyperlink>
        </w:p>
        <w:p w:rsidR="00854553" w:rsidRDefault="006E6A60">
          <w:pPr>
            <w:pStyle w:val="TDC1"/>
            <w:tabs>
              <w:tab w:val="left" w:pos="660"/>
              <w:tab w:val="right" w:leader="dot" w:pos="8828"/>
            </w:tabs>
            <w:rPr>
              <w:rFonts w:eastAsiaTheme="minorEastAsia"/>
              <w:noProof/>
              <w:lang w:eastAsia="es-MX"/>
            </w:rPr>
          </w:pPr>
          <w:hyperlink w:anchor="_Toc527987676" w:history="1">
            <w:r w:rsidR="00854553" w:rsidRPr="008E7932">
              <w:rPr>
                <w:rStyle w:val="Hipervnculo"/>
                <w:noProof/>
              </w:rPr>
              <w:t>III.</w:t>
            </w:r>
            <w:r w:rsidR="00854553">
              <w:rPr>
                <w:rFonts w:eastAsiaTheme="minorEastAsia"/>
                <w:noProof/>
                <w:lang w:eastAsia="es-MX"/>
              </w:rPr>
              <w:tab/>
            </w:r>
            <w:r w:rsidR="00854553" w:rsidRPr="008E7932">
              <w:rPr>
                <w:rStyle w:val="Hipervnculo"/>
                <w:noProof/>
              </w:rPr>
              <w:t>De la Suplencia al Procedimiento de Acceso a la Información Pública.</w:t>
            </w:r>
            <w:r w:rsidR="00854553">
              <w:rPr>
                <w:noProof/>
                <w:webHidden/>
              </w:rPr>
              <w:tab/>
            </w:r>
            <w:r w:rsidR="00854553">
              <w:rPr>
                <w:noProof/>
                <w:webHidden/>
              </w:rPr>
              <w:fldChar w:fldCharType="begin"/>
            </w:r>
            <w:r w:rsidR="00854553">
              <w:rPr>
                <w:noProof/>
                <w:webHidden/>
              </w:rPr>
              <w:instrText xml:space="preserve"> PAGEREF _Toc527987676 \h </w:instrText>
            </w:r>
            <w:r w:rsidR="00854553">
              <w:rPr>
                <w:noProof/>
                <w:webHidden/>
              </w:rPr>
            </w:r>
            <w:r w:rsidR="00854553">
              <w:rPr>
                <w:noProof/>
                <w:webHidden/>
              </w:rPr>
              <w:fldChar w:fldCharType="separate"/>
            </w:r>
            <w:r w:rsidR="00C30AE9">
              <w:rPr>
                <w:noProof/>
                <w:webHidden/>
              </w:rPr>
              <w:t>15</w:t>
            </w:r>
            <w:r w:rsidR="00854553">
              <w:rPr>
                <w:noProof/>
                <w:webHidden/>
              </w:rPr>
              <w:fldChar w:fldCharType="end"/>
            </w:r>
          </w:hyperlink>
        </w:p>
        <w:p w:rsidR="00854553" w:rsidRDefault="006E6A60">
          <w:pPr>
            <w:pStyle w:val="TDC1"/>
            <w:tabs>
              <w:tab w:val="left" w:pos="660"/>
              <w:tab w:val="right" w:leader="dot" w:pos="8828"/>
            </w:tabs>
            <w:rPr>
              <w:rFonts w:eastAsiaTheme="minorEastAsia"/>
              <w:noProof/>
              <w:lang w:eastAsia="es-MX"/>
            </w:rPr>
          </w:pPr>
          <w:hyperlink w:anchor="_Toc527987677" w:history="1">
            <w:r w:rsidR="00854553" w:rsidRPr="008E7932">
              <w:rPr>
                <w:rStyle w:val="Hipervnculo"/>
                <w:noProof/>
              </w:rPr>
              <w:t>IV.</w:t>
            </w:r>
            <w:r w:rsidR="00854553">
              <w:rPr>
                <w:rFonts w:eastAsiaTheme="minorEastAsia"/>
                <w:noProof/>
                <w:lang w:eastAsia="es-MX"/>
              </w:rPr>
              <w:tab/>
            </w:r>
            <w:r w:rsidR="00854553" w:rsidRPr="008E7932">
              <w:rPr>
                <w:rStyle w:val="Hipervnculo"/>
                <w:noProof/>
              </w:rPr>
              <w:t>Conclusión.</w:t>
            </w:r>
            <w:r w:rsidR="00854553">
              <w:rPr>
                <w:noProof/>
                <w:webHidden/>
              </w:rPr>
              <w:tab/>
            </w:r>
            <w:r w:rsidR="00854553">
              <w:rPr>
                <w:noProof/>
                <w:webHidden/>
              </w:rPr>
              <w:fldChar w:fldCharType="begin"/>
            </w:r>
            <w:r w:rsidR="00854553">
              <w:rPr>
                <w:noProof/>
                <w:webHidden/>
              </w:rPr>
              <w:instrText xml:space="preserve"> PAGEREF _Toc527987677 \h </w:instrText>
            </w:r>
            <w:r w:rsidR="00854553">
              <w:rPr>
                <w:noProof/>
                <w:webHidden/>
              </w:rPr>
            </w:r>
            <w:r w:rsidR="00854553">
              <w:rPr>
                <w:noProof/>
                <w:webHidden/>
              </w:rPr>
              <w:fldChar w:fldCharType="separate"/>
            </w:r>
            <w:r w:rsidR="00C30AE9">
              <w:rPr>
                <w:noProof/>
                <w:webHidden/>
              </w:rPr>
              <w:t>18</w:t>
            </w:r>
            <w:r w:rsidR="00854553">
              <w:rPr>
                <w:noProof/>
                <w:webHidden/>
              </w:rPr>
              <w:fldChar w:fldCharType="end"/>
            </w:r>
          </w:hyperlink>
        </w:p>
        <w:p w:rsidR="00625340" w:rsidRPr="0025332E" w:rsidRDefault="00625340">
          <w:pPr>
            <w:rPr>
              <w:rFonts w:ascii="Palatino Linotype" w:hAnsi="Palatino Linotype"/>
              <w:b/>
              <w:bCs/>
              <w:sz w:val="24"/>
              <w:szCs w:val="24"/>
              <w:lang w:val="es-ES"/>
            </w:rPr>
          </w:pPr>
          <w:r w:rsidRPr="0025332E">
            <w:rPr>
              <w:rFonts w:ascii="Palatino Linotype" w:hAnsi="Palatino Linotype"/>
              <w:b/>
              <w:bCs/>
              <w:sz w:val="24"/>
              <w:szCs w:val="24"/>
              <w:lang w:val="es-ES"/>
            </w:rPr>
            <w:fldChar w:fldCharType="end"/>
          </w:r>
        </w:p>
      </w:sdtContent>
    </w:sdt>
    <w:p w:rsidR="0025332E" w:rsidRDefault="0025332E" w:rsidP="0025332E">
      <w:pPr>
        <w:pStyle w:val="Ttulo1"/>
      </w:pPr>
    </w:p>
    <w:p w:rsidR="00D35091" w:rsidRDefault="00D35091" w:rsidP="00D35091"/>
    <w:p w:rsidR="00D35091" w:rsidRDefault="00D35091" w:rsidP="00D35091"/>
    <w:p w:rsidR="00854553" w:rsidRDefault="00854553" w:rsidP="00D35091"/>
    <w:p w:rsidR="00854553" w:rsidRDefault="00854553" w:rsidP="00D35091"/>
    <w:p w:rsidR="00D35091" w:rsidRDefault="00D35091" w:rsidP="00D35091"/>
    <w:p w:rsidR="00D35091" w:rsidRDefault="00D35091" w:rsidP="00D35091"/>
    <w:p w:rsidR="00625340" w:rsidRPr="00F9751B" w:rsidRDefault="00625340" w:rsidP="00A2127D">
      <w:pPr>
        <w:pStyle w:val="Ttulo1"/>
        <w:numPr>
          <w:ilvl w:val="0"/>
          <w:numId w:val="37"/>
        </w:numPr>
      </w:pPr>
      <w:bookmarkStart w:id="0" w:name="_Toc527987674"/>
      <w:r w:rsidRPr="00F9751B">
        <w:t>Consideraciones Generales</w:t>
      </w:r>
      <w:r w:rsidR="004074C0" w:rsidRPr="00F9751B">
        <w:t>.</w:t>
      </w:r>
      <w:bookmarkEnd w:id="0"/>
    </w:p>
    <w:p w:rsidR="003431E5" w:rsidRPr="003431E5" w:rsidRDefault="003431E5" w:rsidP="003431E5"/>
    <w:p w:rsidR="00625340" w:rsidRDefault="00703F02" w:rsidP="00625340">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concurrido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0226DE">
        <w:rPr>
          <w:rFonts w:ascii="Palatino Linotype" w:hAnsi="Palatino Linotype" w:cs="Arial"/>
          <w:sz w:val="24"/>
          <w:szCs w:val="24"/>
        </w:rPr>
        <w:t>Trigésimo Octava</w:t>
      </w:r>
      <w:r w:rsidR="00F9751B">
        <w:rPr>
          <w:rFonts w:ascii="Palatino Linotype" w:hAnsi="Palatino Linotype" w:cs="Arial"/>
          <w:sz w:val="24"/>
          <w:szCs w:val="24"/>
        </w:rPr>
        <w:t xml:space="preserve"> </w:t>
      </w:r>
      <w:r w:rsidR="000226DE">
        <w:rPr>
          <w:rFonts w:ascii="Palatino Linotype" w:hAnsi="Palatino Linotype" w:cs="Arial"/>
          <w:sz w:val="24"/>
          <w:szCs w:val="24"/>
        </w:rPr>
        <w:t>Sesión O</w:t>
      </w:r>
      <w:r w:rsidR="00F9751B">
        <w:rPr>
          <w:rFonts w:ascii="Palatino Linotype" w:hAnsi="Palatino Linotype" w:cs="Arial"/>
          <w:sz w:val="24"/>
          <w:szCs w:val="24"/>
        </w:rPr>
        <w:t xml:space="preserve">rdinaria celebrada el </w:t>
      </w:r>
      <w:r w:rsidR="00175E9F">
        <w:rPr>
          <w:rFonts w:ascii="Palatino Linotype" w:hAnsi="Palatino Linotype" w:cs="Arial"/>
          <w:sz w:val="24"/>
          <w:szCs w:val="24"/>
        </w:rPr>
        <w:t xml:space="preserve">día </w:t>
      </w:r>
      <w:r w:rsidR="000226DE">
        <w:rPr>
          <w:rFonts w:ascii="Palatino Linotype" w:hAnsi="Palatino Linotype" w:cs="Arial"/>
          <w:sz w:val="24"/>
          <w:szCs w:val="24"/>
        </w:rPr>
        <w:t>diecisiete de octubre</w:t>
      </w:r>
      <w:r w:rsidR="00F9751B">
        <w:rPr>
          <w:rFonts w:ascii="Palatino Linotype" w:hAnsi="Palatino Linotype" w:cs="Arial"/>
          <w:sz w:val="24"/>
          <w:szCs w:val="24"/>
        </w:rPr>
        <w:t xml:space="preserve"> de dos mil dieciocho</w:t>
      </w:r>
      <w:r w:rsidR="00625340" w:rsidRPr="001C3008">
        <w:rPr>
          <w:rFonts w:ascii="Palatino Linotype" w:hAnsi="Palatino Linotype" w:cs="Arial"/>
          <w:sz w:val="24"/>
          <w:szCs w:val="24"/>
        </w:rPr>
        <w:t xml:space="preserve">, en </w:t>
      </w:r>
      <w:r w:rsidR="00625340">
        <w:rPr>
          <w:rFonts w:ascii="Palatino Linotype" w:hAnsi="Palatino Linotype" w:cs="Arial"/>
          <w:sz w:val="24"/>
          <w:szCs w:val="24"/>
        </w:rPr>
        <w:t>el recurso de revisión promovido</w:t>
      </w:r>
      <w:r w:rsidR="00625340" w:rsidRPr="001C3008">
        <w:rPr>
          <w:rFonts w:ascii="Palatino Linotype" w:hAnsi="Palatino Linotype" w:cs="Arial"/>
          <w:sz w:val="24"/>
          <w:szCs w:val="24"/>
        </w:rPr>
        <w:t xml:space="preserve"> por </w:t>
      </w:r>
      <w:r w:rsidR="006E4EDC" w:rsidRPr="006E4EDC">
        <w:rPr>
          <w:rFonts w:ascii="Palatino Linotype" w:hAnsi="Palatino Linotype"/>
          <w:b/>
          <w:sz w:val="24"/>
          <w:szCs w:val="24"/>
          <w:highlight w:val="black"/>
          <w:lang w:val="es-ES_tradnl"/>
        </w:rPr>
        <w:t>------------------------------</w:t>
      </w:r>
      <w:r w:rsidR="00625340">
        <w:rPr>
          <w:rFonts w:ascii="Palatino Linotype" w:hAnsi="Palatino Linotype" w:cs="Arial"/>
          <w:sz w:val="24"/>
          <w:szCs w:val="24"/>
        </w:rPr>
        <w:t xml:space="preserve"> e</w:t>
      </w:r>
      <w:r w:rsidR="00625340" w:rsidRPr="001C3008">
        <w:rPr>
          <w:rFonts w:ascii="Palatino Linotype" w:hAnsi="Palatino Linotype" w:cs="Arial"/>
          <w:sz w:val="24"/>
          <w:szCs w:val="24"/>
        </w:rPr>
        <w:t xml:space="preserve">n contra de la respuesta </w:t>
      </w:r>
      <w:r w:rsidR="00B02F56">
        <w:rPr>
          <w:rFonts w:ascii="Palatino Linotype" w:hAnsi="Palatino Linotype" w:cs="Arial"/>
          <w:sz w:val="24"/>
          <w:szCs w:val="24"/>
        </w:rPr>
        <w:t>de</w:t>
      </w:r>
      <w:r w:rsidR="00BB759C">
        <w:rPr>
          <w:rFonts w:ascii="Palatino Linotype" w:hAnsi="Palatino Linotype" w:cs="Arial"/>
          <w:sz w:val="24"/>
          <w:szCs w:val="24"/>
        </w:rPr>
        <w:t xml:space="preserve"> </w:t>
      </w:r>
      <w:r>
        <w:rPr>
          <w:rFonts w:ascii="Palatino Linotype" w:hAnsi="Palatino Linotype" w:cs="Arial"/>
          <w:sz w:val="24"/>
          <w:szCs w:val="24"/>
        </w:rPr>
        <w:t>l</w:t>
      </w:r>
      <w:r w:rsidR="00BB759C">
        <w:rPr>
          <w:rFonts w:ascii="Palatino Linotype" w:hAnsi="Palatino Linotype" w:cs="Arial"/>
          <w:sz w:val="24"/>
          <w:szCs w:val="24"/>
        </w:rPr>
        <w:t xml:space="preserve">a </w:t>
      </w:r>
      <w:r w:rsidR="00BB759C" w:rsidRPr="00BB759C">
        <w:rPr>
          <w:rFonts w:ascii="Palatino Linotype" w:hAnsi="Palatino Linotype" w:cs="Arial"/>
          <w:b/>
          <w:sz w:val="24"/>
          <w:szCs w:val="24"/>
        </w:rPr>
        <w:t>Secretaría de Finanzas</w:t>
      </w:r>
      <w:r w:rsidR="00625340" w:rsidRPr="001C3008">
        <w:rPr>
          <w:rFonts w:ascii="Palatino Linotype" w:hAnsi="Palatino Linotype" w:cs="Arial"/>
          <w:sz w:val="24"/>
          <w:szCs w:val="24"/>
        </w:rPr>
        <w:t>, proce</w:t>
      </w:r>
      <w:r w:rsidR="00625340">
        <w:rPr>
          <w:rFonts w:ascii="Palatino Linotype" w:hAnsi="Palatino Linotype" w:cs="Arial"/>
          <w:sz w:val="24"/>
          <w:szCs w:val="24"/>
        </w:rPr>
        <w:t xml:space="preserve">dimiento al que se le asignó el número de expediente </w:t>
      </w:r>
      <w:r w:rsidR="00625340" w:rsidRPr="00340665">
        <w:rPr>
          <w:rFonts w:ascii="Palatino Linotype" w:hAnsi="Palatino Linotype" w:cs="Arial"/>
          <w:b/>
          <w:bCs/>
          <w:sz w:val="24"/>
          <w:szCs w:val="24"/>
        </w:rPr>
        <w:t>0</w:t>
      </w:r>
      <w:r w:rsidR="000226DE">
        <w:rPr>
          <w:rFonts w:ascii="Palatino Linotype" w:hAnsi="Palatino Linotype" w:cs="Arial"/>
          <w:b/>
          <w:bCs/>
          <w:sz w:val="24"/>
          <w:szCs w:val="24"/>
        </w:rPr>
        <w:t>3022</w:t>
      </w:r>
      <w:r w:rsidR="00625340" w:rsidRPr="00340665">
        <w:rPr>
          <w:rFonts w:ascii="Palatino Linotype" w:hAnsi="Palatino Linotype" w:cs="Arial"/>
          <w:b/>
          <w:bCs/>
          <w:sz w:val="24"/>
          <w:szCs w:val="24"/>
        </w:rPr>
        <w:t>/INFOEM/IP/RR/201</w:t>
      </w:r>
      <w:r w:rsidR="00F9751B">
        <w:rPr>
          <w:rFonts w:ascii="Palatino Linotype" w:hAnsi="Palatino Linotype" w:cs="Arial"/>
          <w:b/>
          <w:bCs/>
          <w:sz w:val="24"/>
          <w:szCs w:val="24"/>
        </w:rPr>
        <w:t>8</w:t>
      </w:r>
      <w:r w:rsidR="00BB759C">
        <w:rPr>
          <w:rFonts w:ascii="Palatino Linotype" w:hAnsi="Palatino Linotype" w:cs="Arial"/>
          <w:b/>
          <w:bCs/>
          <w:sz w:val="24"/>
          <w:szCs w:val="24"/>
        </w:rPr>
        <w:t>.</w:t>
      </w:r>
    </w:p>
    <w:p w:rsidR="00D35091" w:rsidRDefault="00D35091" w:rsidP="00D35091">
      <w:pPr>
        <w:pStyle w:val="Prrafodelista"/>
        <w:spacing w:after="0" w:line="360" w:lineRule="auto"/>
        <w:ind w:left="0"/>
        <w:jc w:val="both"/>
        <w:rPr>
          <w:rFonts w:ascii="Palatino Linotype" w:hAnsi="Palatino Linotype" w:cs="Arial"/>
          <w:b/>
          <w:sz w:val="24"/>
          <w:szCs w:val="24"/>
        </w:rPr>
      </w:pPr>
    </w:p>
    <w:p w:rsidR="00625340" w:rsidRDefault="00625340" w:rsidP="00625340">
      <w:pPr>
        <w:pStyle w:val="Prrafodelista"/>
        <w:spacing w:after="0" w:line="360" w:lineRule="auto"/>
        <w:ind w:left="0"/>
        <w:jc w:val="both"/>
        <w:rPr>
          <w:rFonts w:ascii="Palatino Linotype" w:hAnsi="Palatino Linotype" w:cs="Arial"/>
          <w:b/>
          <w:sz w:val="24"/>
          <w:szCs w:val="24"/>
        </w:rPr>
      </w:pPr>
    </w:p>
    <w:p w:rsidR="0002112E" w:rsidRPr="00771F1D" w:rsidRDefault="00DA4B4E" w:rsidP="000E3602">
      <w:pPr>
        <w:pStyle w:val="Prrafodelista"/>
        <w:numPr>
          <w:ilvl w:val="0"/>
          <w:numId w:val="11"/>
        </w:numPr>
        <w:spacing w:after="0" w:line="360" w:lineRule="auto"/>
        <w:ind w:left="0"/>
        <w:jc w:val="both"/>
        <w:rPr>
          <w:rFonts w:ascii="Palatino Linotype" w:hAnsi="Palatino Linotype" w:cs="Arial"/>
          <w:sz w:val="24"/>
          <w:szCs w:val="24"/>
        </w:rPr>
      </w:pPr>
      <w:bookmarkStart w:id="1" w:name="_GoBack"/>
      <w:bookmarkEnd w:id="1"/>
      <w:r w:rsidRPr="00771F1D">
        <w:rPr>
          <w:rFonts w:ascii="Palatino Linotype" w:hAnsi="Palatino Linotype" w:cs="Arial"/>
          <w:sz w:val="24"/>
          <w:szCs w:val="24"/>
        </w:rPr>
        <w:lastRenderedPageBreak/>
        <w:t xml:space="preserve">La resolución </w:t>
      </w:r>
      <w:r w:rsidR="00340665" w:rsidRPr="00771F1D">
        <w:rPr>
          <w:rFonts w:ascii="Palatino Linotype" w:hAnsi="Palatino Linotype" w:cs="Arial"/>
          <w:sz w:val="24"/>
          <w:szCs w:val="24"/>
        </w:rPr>
        <w:t xml:space="preserve">puntualmente </w:t>
      </w:r>
      <w:r w:rsidRPr="00771F1D">
        <w:rPr>
          <w:rFonts w:ascii="Palatino Linotype" w:hAnsi="Palatino Linotype" w:cs="Arial"/>
          <w:sz w:val="24"/>
          <w:szCs w:val="24"/>
        </w:rPr>
        <w:t xml:space="preserve">determina </w:t>
      </w:r>
      <w:r w:rsidR="0002112E" w:rsidRPr="00771F1D">
        <w:rPr>
          <w:rFonts w:ascii="Palatino Linotype" w:hAnsi="Palatino Linotype" w:cs="Arial"/>
          <w:sz w:val="24"/>
          <w:szCs w:val="24"/>
        </w:rPr>
        <w:t xml:space="preserve">sobreseer el recurso de revisión </w:t>
      </w:r>
      <w:r w:rsidR="00BB759C" w:rsidRPr="00BB759C">
        <w:rPr>
          <w:rFonts w:ascii="Palatino Linotype" w:hAnsi="Palatino Linotype" w:cs="Arial"/>
          <w:sz w:val="24"/>
          <w:szCs w:val="24"/>
        </w:rPr>
        <w:t>por que al modificar la respuesta quedó sin materia, en términos del Considerando</w:t>
      </w:r>
      <w:r w:rsidR="00BB759C">
        <w:rPr>
          <w:rFonts w:ascii="Palatino Linotype" w:hAnsi="Palatino Linotype" w:cs="Arial"/>
          <w:b/>
          <w:sz w:val="24"/>
          <w:szCs w:val="24"/>
        </w:rPr>
        <w:t xml:space="preserve"> QUINTO.</w:t>
      </w:r>
    </w:p>
    <w:p w:rsidR="003C7564" w:rsidRPr="00DA4B4E" w:rsidRDefault="00DA4B4E" w:rsidP="0002112E">
      <w:pPr>
        <w:pStyle w:val="Prrafodelista"/>
        <w:spacing w:after="0" w:line="360" w:lineRule="auto"/>
        <w:ind w:left="0"/>
        <w:jc w:val="both"/>
        <w:rPr>
          <w:rFonts w:ascii="Palatino Linotype" w:hAnsi="Palatino Linotype" w:cs="Arial"/>
          <w:b/>
          <w:sz w:val="24"/>
          <w:szCs w:val="24"/>
        </w:rPr>
      </w:pPr>
      <w:r w:rsidRPr="00DA4B4E">
        <w:rPr>
          <w:rFonts w:ascii="Palatino Linotype" w:hAnsi="Palatino Linotype" w:cs="Arial"/>
          <w:sz w:val="24"/>
          <w:szCs w:val="24"/>
        </w:rPr>
        <w:t xml:space="preserve"> </w:t>
      </w:r>
    </w:p>
    <w:p w:rsidR="00625340"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771F1D" w:rsidRDefault="00771F1D" w:rsidP="00771F1D">
      <w:pPr>
        <w:pStyle w:val="Prrafodelista"/>
        <w:rPr>
          <w:rFonts w:ascii="Palatino Linotype" w:hAnsi="Palatino Linotype" w:cs="Arial"/>
          <w:sz w:val="24"/>
          <w:szCs w:val="24"/>
        </w:rPr>
      </w:pPr>
    </w:p>
    <w:p w:rsidR="00D35091" w:rsidRDefault="00D35091" w:rsidP="00771F1D">
      <w:pPr>
        <w:pStyle w:val="Prrafodelista"/>
        <w:rPr>
          <w:rFonts w:ascii="Palatino Linotype" w:hAnsi="Palatino Linotype" w:cs="Arial"/>
          <w:sz w:val="24"/>
          <w:szCs w:val="24"/>
        </w:rPr>
      </w:pPr>
    </w:p>
    <w:p w:rsidR="00D35091" w:rsidRPr="00771F1D" w:rsidRDefault="00D35091" w:rsidP="00771F1D">
      <w:pPr>
        <w:pStyle w:val="Prrafodelista"/>
        <w:rPr>
          <w:rFonts w:ascii="Palatino Linotype" w:hAnsi="Palatino Linotype" w:cs="Arial"/>
          <w:sz w:val="24"/>
          <w:szCs w:val="24"/>
        </w:rPr>
      </w:pPr>
    </w:p>
    <w:p w:rsidR="00625340" w:rsidRDefault="00611AB9" w:rsidP="00A2127D">
      <w:pPr>
        <w:pStyle w:val="Ttulo1"/>
        <w:numPr>
          <w:ilvl w:val="0"/>
          <w:numId w:val="37"/>
        </w:numPr>
      </w:pPr>
      <w:bookmarkStart w:id="2" w:name="_Toc527987675"/>
      <w:r w:rsidRPr="00A2127D">
        <w:t>Del Procedimiento de Acceso a la Información Pública</w:t>
      </w:r>
      <w:r w:rsidR="00625340" w:rsidRPr="00A2127D">
        <w:t>.</w:t>
      </w:r>
      <w:bookmarkEnd w:id="2"/>
    </w:p>
    <w:p w:rsidR="00771F1D" w:rsidRPr="00771F1D" w:rsidRDefault="00771F1D" w:rsidP="00771F1D"/>
    <w:p w:rsidR="009F7309" w:rsidRDefault="009F7309" w:rsidP="009F7309">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primer lugar, todo </w:t>
      </w:r>
      <w:r>
        <w:rPr>
          <w:rFonts w:ascii="Palatino Linotype" w:hAnsi="Palatino Linotype" w:cs="Arial"/>
          <w:b/>
          <w:sz w:val="24"/>
          <w:szCs w:val="24"/>
        </w:rPr>
        <w:t xml:space="preserve">SUJETO OBLIGADO, </w:t>
      </w:r>
      <w:r>
        <w:rPr>
          <w:rFonts w:ascii="Palatino Linotype" w:hAnsi="Palatino Linotype" w:cs="Arial"/>
          <w:sz w:val="24"/>
          <w:szCs w:val="24"/>
        </w:rPr>
        <w:t xml:space="preserve">debe tener presente que la </w:t>
      </w:r>
      <w:r>
        <w:rPr>
          <w:rFonts w:ascii="Palatino Linotype" w:hAnsi="Palatino Linotype" w:cs="Arial"/>
          <w:b/>
          <w:sz w:val="24"/>
          <w:szCs w:val="24"/>
        </w:rPr>
        <w:t xml:space="preserve">Ley de Transparencia </w:t>
      </w:r>
      <w:r w:rsidRPr="009F7309">
        <w:rPr>
          <w:rFonts w:ascii="Palatino Linotype" w:hAnsi="Palatino Linotype" w:cs="Arial"/>
          <w:b/>
          <w:sz w:val="24"/>
          <w:szCs w:val="24"/>
        </w:rPr>
        <w:t>y Acceso a la Información Pública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3C35BC">
        <w:rPr>
          <w:rFonts w:ascii="Palatino Linotype" w:hAnsi="Palatino Linotype" w:cs="Arial"/>
          <w:sz w:val="24"/>
          <w:szCs w:val="24"/>
        </w:rPr>
        <w:t>y expedita propiciando l</w:t>
      </w:r>
      <w:r w:rsidR="00E661C7">
        <w:rPr>
          <w:rFonts w:ascii="Palatino Linotype" w:hAnsi="Palatino Linotype" w:cs="Arial"/>
          <w:sz w:val="24"/>
          <w:szCs w:val="24"/>
        </w:rPr>
        <w:t xml:space="preserve">as condiciones para el acceso, entrega y publicación de información. </w:t>
      </w:r>
    </w:p>
    <w:p w:rsidR="0002112E" w:rsidRDefault="0002112E" w:rsidP="0002112E">
      <w:pPr>
        <w:pStyle w:val="Prrafodelista"/>
        <w:spacing w:before="240" w:after="240" w:line="360" w:lineRule="auto"/>
        <w:ind w:left="0"/>
        <w:jc w:val="both"/>
        <w:rPr>
          <w:rFonts w:ascii="Palatino Linotype" w:hAnsi="Palatino Linotype" w:cs="Arial"/>
          <w:sz w:val="24"/>
          <w:szCs w:val="24"/>
        </w:rPr>
      </w:pPr>
    </w:p>
    <w:p w:rsidR="001F1A7A" w:rsidRDefault="00BB759C" w:rsidP="001F1A7A">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Se solicitó al Sujeto Obligado lo siguiente: </w:t>
      </w:r>
    </w:p>
    <w:p w:rsidR="00BB759C" w:rsidRPr="00BB759C" w:rsidRDefault="00BB759C" w:rsidP="00BB759C">
      <w:pPr>
        <w:pStyle w:val="Prrafodelista"/>
        <w:rPr>
          <w:rFonts w:ascii="Palatino Linotype" w:hAnsi="Palatino Linotype" w:cs="Arial"/>
          <w:sz w:val="24"/>
          <w:szCs w:val="24"/>
        </w:rPr>
      </w:pPr>
    </w:p>
    <w:p w:rsidR="00BB759C" w:rsidRDefault="00BB759C" w:rsidP="00BB759C">
      <w:pPr>
        <w:pStyle w:val="Prrafodelista"/>
        <w:spacing w:before="240" w:after="240" w:line="360" w:lineRule="auto"/>
        <w:ind w:left="0"/>
        <w:jc w:val="both"/>
        <w:rPr>
          <w:rFonts w:ascii="Palatino Linotype" w:hAnsi="Palatino Linotype" w:cs="Arial"/>
          <w:sz w:val="24"/>
          <w:szCs w:val="24"/>
        </w:rPr>
      </w:pPr>
    </w:p>
    <w:p w:rsidR="00BB759C" w:rsidRPr="00762649" w:rsidRDefault="00BB759C" w:rsidP="00BB759C">
      <w:pPr>
        <w:pStyle w:val="Prrafodelista"/>
        <w:widowControl w:val="0"/>
        <w:numPr>
          <w:ilvl w:val="0"/>
          <w:numId w:val="41"/>
        </w:numPr>
        <w:autoSpaceDE w:val="0"/>
        <w:autoSpaceDN w:val="0"/>
        <w:adjustRightInd w:val="0"/>
        <w:spacing w:before="240" w:after="240" w:line="360" w:lineRule="auto"/>
        <w:contextualSpacing w:val="0"/>
        <w:jc w:val="both"/>
        <w:rPr>
          <w:rFonts w:ascii="Palatino Linotype" w:hAnsi="Palatino Linotype" w:cs="Arial"/>
          <w:sz w:val="24"/>
        </w:rPr>
      </w:pPr>
      <w:r w:rsidRPr="00762649">
        <w:rPr>
          <w:rFonts w:ascii="Palatino Linotype" w:hAnsi="Palatino Linotype" w:cs="Arial"/>
          <w:sz w:val="24"/>
        </w:rPr>
        <w:lastRenderedPageBreak/>
        <w:t>Nombramiento como Contralor;</w:t>
      </w:r>
    </w:p>
    <w:p w:rsidR="00BB759C" w:rsidRPr="00762649" w:rsidRDefault="00BB759C" w:rsidP="00BB759C">
      <w:pPr>
        <w:pStyle w:val="Prrafodelista"/>
        <w:widowControl w:val="0"/>
        <w:numPr>
          <w:ilvl w:val="0"/>
          <w:numId w:val="41"/>
        </w:numPr>
        <w:autoSpaceDE w:val="0"/>
        <w:autoSpaceDN w:val="0"/>
        <w:adjustRightInd w:val="0"/>
        <w:spacing w:before="240" w:after="240" w:line="360" w:lineRule="auto"/>
        <w:contextualSpacing w:val="0"/>
        <w:jc w:val="both"/>
        <w:rPr>
          <w:rFonts w:ascii="Palatino Linotype" w:hAnsi="Palatino Linotype" w:cs="Arial"/>
          <w:sz w:val="24"/>
        </w:rPr>
      </w:pPr>
      <w:r w:rsidRPr="00762649">
        <w:rPr>
          <w:rFonts w:ascii="Palatino Linotype" w:hAnsi="Palatino Linotype" w:cs="Arial"/>
          <w:sz w:val="24"/>
        </w:rPr>
        <w:t>Nombramiento en su anterior cargo en el Estado de México en el área de contraloría;</w:t>
      </w:r>
    </w:p>
    <w:p w:rsidR="00BB759C" w:rsidRPr="00762649" w:rsidRDefault="00BB759C" w:rsidP="00BB759C">
      <w:pPr>
        <w:pStyle w:val="Prrafodelista"/>
        <w:widowControl w:val="0"/>
        <w:numPr>
          <w:ilvl w:val="0"/>
          <w:numId w:val="41"/>
        </w:numPr>
        <w:autoSpaceDE w:val="0"/>
        <w:autoSpaceDN w:val="0"/>
        <w:adjustRightInd w:val="0"/>
        <w:spacing w:before="240" w:after="240" w:line="360" w:lineRule="auto"/>
        <w:contextualSpacing w:val="0"/>
        <w:jc w:val="both"/>
        <w:rPr>
          <w:rFonts w:ascii="Palatino Linotype" w:hAnsi="Palatino Linotype" w:cs="Arial"/>
          <w:sz w:val="24"/>
        </w:rPr>
      </w:pPr>
      <w:r w:rsidRPr="00762649">
        <w:rPr>
          <w:rFonts w:ascii="Palatino Linotype" w:hAnsi="Palatino Linotype" w:cs="Arial"/>
          <w:sz w:val="24"/>
        </w:rPr>
        <w:t xml:space="preserve">“… </w:t>
      </w:r>
      <w:r w:rsidRPr="00762649">
        <w:rPr>
          <w:rFonts w:ascii="Palatino Linotype" w:hAnsi="Palatino Linotype" w:cs="Arial"/>
          <w:i/>
          <w:sz w:val="24"/>
        </w:rPr>
        <w:t>acta de entrega</w:t>
      </w:r>
      <w:r w:rsidRPr="00762649">
        <w:rPr>
          <w:rStyle w:val="Refdenotaalpie"/>
          <w:rFonts w:ascii="Palatino Linotype" w:hAnsi="Palatino Linotype" w:cs="Arial"/>
          <w:i/>
          <w:sz w:val="24"/>
        </w:rPr>
        <w:footnoteReference w:id="1"/>
      </w:r>
      <w:r w:rsidRPr="00762649">
        <w:rPr>
          <w:rFonts w:ascii="Palatino Linotype" w:hAnsi="Palatino Linotype" w:cs="Arial"/>
          <w:i/>
          <w:sz w:val="24"/>
        </w:rPr>
        <w:t xml:space="preserve"> anterior …</w:t>
      </w:r>
      <w:r w:rsidRPr="00762649">
        <w:rPr>
          <w:rFonts w:ascii="Palatino Linotype" w:hAnsi="Palatino Linotype" w:cs="Arial"/>
          <w:sz w:val="24"/>
        </w:rPr>
        <w:t>” (sic) y de todos los asuntos que manejó con máxima publicidad;</w:t>
      </w:r>
    </w:p>
    <w:p w:rsidR="00BB759C" w:rsidRPr="00762649" w:rsidRDefault="00BB759C" w:rsidP="00BB759C">
      <w:pPr>
        <w:pStyle w:val="Prrafodelista"/>
        <w:widowControl w:val="0"/>
        <w:numPr>
          <w:ilvl w:val="0"/>
          <w:numId w:val="41"/>
        </w:numPr>
        <w:autoSpaceDE w:val="0"/>
        <w:autoSpaceDN w:val="0"/>
        <w:adjustRightInd w:val="0"/>
        <w:spacing w:before="240" w:after="240" w:line="360" w:lineRule="auto"/>
        <w:contextualSpacing w:val="0"/>
        <w:jc w:val="both"/>
        <w:rPr>
          <w:rFonts w:ascii="Palatino Linotype" w:hAnsi="Palatino Linotype" w:cs="Arial"/>
          <w:sz w:val="24"/>
        </w:rPr>
      </w:pPr>
      <w:r w:rsidRPr="00762649">
        <w:rPr>
          <w:rFonts w:ascii="Palatino Linotype" w:hAnsi="Palatino Linotype" w:cs="Arial"/>
          <w:sz w:val="24"/>
        </w:rPr>
        <w:t xml:space="preserve">Los resultados concretos de todas las denuncias, auditorias, asuntos que recibió como Contralor, de la </w:t>
      </w:r>
      <w:r w:rsidRPr="00762649">
        <w:rPr>
          <w:rFonts w:ascii="Palatino Linotype" w:hAnsi="Palatino Linotype" w:cs="Arial"/>
          <w:i/>
          <w:sz w:val="24"/>
        </w:rPr>
        <w:t xml:space="preserve">“… </w:t>
      </w:r>
      <w:proofErr w:type="gramStart"/>
      <w:r w:rsidRPr="00762649">
        <w:rPr>
          <w:rFonts w:ascii="Palatino Linotype" w:hAnsi="Palatino Linotype" w:cs="Arial"/>
          <w:i/>
          <w:sz w:val="24"/>
        </w:rPr>
        <w:t>ASF …</w:t>
      </w:r>
      <w:proofErr w:type="gramEnd"/>
      <w:r w:rsidRPr="00762649">
        <w:rPr>
          <w:rFonts w:ascii="Palatino Linotype" w:hAnsi="Palatino Linotype" w:cs="Arial"/>
          <w:i/>
          <w:sz w:val="24"/>
        </w:rPr>
        <w:t>”</w:t>
      </w:r>
      <w:r w:rsidRPr="00762649">
        <w:rPr>
          <w:rStyle w:val="Refdenotaalpie"/>
          <w:rFonts w:ascii="Palatino Linotype" w:hAnsi="Palatino Linotype" w:cs="Arial"/>
          <w:sz w:val="24"/>
        </w:rPr>
        <w:footnoteReference w:id="2"/>
      </w:r>
      <w:r w:rsidRPr="00762649">
        <w:rPr>
          <w:rFonts w:ascii="Palatino Linotype" w:hAnsi="Palatino Linotype" w:cs="Arial"/>
          <w:sz w:val="24"/>
        </w:rPr>
        <w:t xml:space="preserve">, de la </w:t>
      </w:r>
      <w:r w:rsidRPr="00762649">
        <w:rPr>
          <w:rFonts w:ascii="Palatino Linotype" w:hAnsi="Palatino Linotype" w:cs="Arial"/>
          <w:i/>
          <w:sz w:val="24"/>
        </w:rPr>
        <w:t>“… auditoria superior del EDO …”</w:t>
      </w:r>
      <w:r w:rsidRPr="00762649">
        <w:rPr>
          <w:rStyle w:val="Refdenotaalpie"/>
          <w:rFonts w:ascii="Palatino Linotype" w:hAnsi="Palatino Linotype" w:cs="Arial"/>
          <w:sz w:val="24"/>
        </w:rPr>
        <w:footnoteReference w:id="3"/>
      </w:r>
      <w:r w:rsidRPr="00762649">
        <w:rPr>
          <w:rFonts w:ascii="Palatino Linotype" w:hAnsi="Palatino Linotype" w:cs="Arial"/>
          <w:sz w:val="24"/>
        </w:rPr>
        <w:t xml:space="preserve">, las </w:t>
      </w:r>
      <w:r w:rsidRPr="00762649">
        <w:rPr>
          <w:rFonts w:ascii="Palatino Linotype" w:hAnsi="Palatino Linotype" w:cs="Arial"/>
          <w:i/>
          <w:sz w:val="24"/>
        </w:rPr>
        <w:t>“… procuradurías estatales del EDO</w:t>
      </w:r>
      <w:r w:rsidRPr="00762649">
        <w:rPr>
          <w:rStyle w:val="Refdenotaalpie"/>
          <w:rFonts w:ascii="Palatino Linotype" w:hAnsi="Palatino Linotype" w:cs="Arial"/>
          <w:sz w:val="24"/>
        </w:rPr>
        <w:footnoteReference w:id="4"/>
      </w:r>
      <w:r w:rsidRPr="00762649">
        <w:rPr>
          <w:rFonts w:ascii="Palatino Linotype" w:hAnsi="Palatino Linotype" w:cs="Arial"/>
          <w:i/>
          <w:sz w:val="24"/>
        </w:rPr>
        <w:t xml:space="preserve"> o PGR</w:t>
      </w:r>
      <w:r w:rsidRPr="00762649">
        <w:rPr>
          <w:rStyle w:val="Refdenotaalpie"/>
          <w:rFonts w:ascii="Palatino Linotype" w:hAnsi="Palatino Linotype" w:cs="Arial"/>
          <w:sz w:val="24"/>
        </w:rPr>
        <w:footnoteReference w:id="5"/>
      </w:r>
      <w:r w:rsidRPr="00762649">
        <w:rPr>
          <w:rFonts w:ascii="Palatino Linotype" w:hAnsi="Palatino Linotype" w:cs="Arial"/>
          <w:i/>
          <w:sz w:val="24"/>
        </w:rPr>
        <w:t xml:space="preserve"> …”</w:t>
      </w:r>
      <w:r w:rsidRPr="00762649">
        <w:rPr>
          <w:rFonts w:ascii="Palatino Linotype" w:hAnsi="Palatino Linotype" w:cs="Arial"/>
          <w:sz w:val="24"/>
        </w:rPr>
        <w:t xml:space="preserve">, por número consecutivo y fecha cada expediente; así como de todas sus actuaciones en el </w:t>
      </w:r>
      <w:r w:rsidRPr="00762649">
        <w:rPr>
          <w:rFonts w:ascii="Palatino Linotype" w:hAnsi="Palatino Linotype" w:cs="Arial"/>
          <w:i/>
          <w:sz w:val="24"/>
        </w:rPr>
        <w:t>“… GACM …”</w:t>
      </w:r>
      <w:r w:rsidRPr="00762649">
        <w:rPr>
          <w:rStyle w:val="Refdenotaalpie"/>
          <w:rFonts w:ascii="Palatino Linotype" w:hAnsi="Palatino Linotype" w:cs="Arial"/>
          <w:sz w:val="24"/>
        </w:rPr>
        <w:footnoteReference w:id="6"/>
      </w:r>
      <w:r w:rsidRPr="00762649">
        <w:rPr>
          <w:rFonts w:ascii="Palatino Linotype" w:hAnsi="Palatino Linotype" w:cs="Arial"/>
          <w:sz w:val="24"/>
        </w:rPr>
        <w:t>, y</w:t>
      </w:r>
    </w:p>
    <w:p w:rsidR="00BB759C" w:rsidRPr="00762649" w:rsidRDefault="00BB759C" w:rsidP="00BB759C">
      <w:pPr>
        <w:pStyle w:val="Prrafodelista"/>
        <w:widowControl w:val="0"/>
        <w:numPr>
          <w:ilvl w:val="0"/>
          <w:numId w:val="41"/>
        </w:numPr>
        <w:autoSpaceDE w:val="0"/>
        <w:autoSpaceDN w:val="0"/>
        <w:adjustRightInd w:val="0"/>
        <w:spacing w:before="240" w:after="240" w:line="360" w:lineRule="auto"/>
        <w:contextualSpacing w:val="0"/>
        <w:jc w:val="both"/>
        <w:rPr>
          <w:rFonts w:ascii="Palatino Linotype" w:hAnsi="Palatino Linotype" w:cs="Arial"/>
          <w:sz w:val="24"/>
        </w:rPr>
      </w:pPr>
      <w:r w:rsidRPr="00762649">
        <w:rPr>
          <w:rFonts w:ascii="Palatino Linotype" w:hAnsi="Palatino Linotype" w:cs="Arial"/>
          <w:sz w:val="24"/>
        </w:rPr>
        <w:t xml:space="preserve">La investigación “… </w:t>
      </w:r>
      <w:r w:rsidRPr="00762649">
        <w:rPr>
          <w:rFonts w:ascii="Palatino Linotype" w:hAnsi="Palatino Linotype" w:cs="Arial"/>
          <w:i/>
          <w:sz w:val="24"/>
        </w:rPr>
        <w:t xml:space="preserve">que hace </w:t>
      </w:r>
      <w:proofErr w:type="gramStart"/>
      <w:r w:rsidRPr="00762649">
        <w:rPr>
          <w:rFonts w:ascii="Palatino Linotype" w:hAnsi="Palatino Linotype" w:cs="Arial"/>
          <w:i/>
          <w:sz w:val="24"/>
        </w:rPr>
        <w:t>PGR …</w:t>
      </w:r>
      <w:proofErr w:type="gramEnd"/>
      <w:r w:rsidRPr="00762649">
        <w:rPr>
          <w:rFonts w:ascii="Palatino Linotype" w:hAnsi="Palatino Linotype" w:cs="Arial"/>
          <w:sz w:val="24"/>
        </w:rPr>
        <w:t>” en su contra.</w:t>
      </w:r>
    </w:p>
    <w:p w:rsidR="001F1A7A" w:rsidRPr="001F1A7A" w:rsidRDefault="001F1A7A" w:rsidP="001F1A7A">
      <w:pPr>
        <w:pStyle w:val="Prrafodelista"/>
        <w:rPr>
          <w:rFonts w:ascii="Palatino Linotype" w:hAnsi="Palatino Linotype" w:cs="Arial"/>
          <w:sz w:val="24"/>
          <w:szCs w:val="24"/>
        </w:rPr>
      </w:pPr>
    </w:p>
    <w:p w:rsidR="00BB759C" w:rsidRPr="00762649" w:rsidRDefault="00BB759C" w:rsidP="00BB759C">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762649">
        <w:rPr>
          <w:rFonts w:ascii="Palatino Linotype" w:hAnsi="Palatino Linotype" w:cs="Arial"/>
          <w:sz w:val="24"/>
          <w:szCs w:val="24"/>
        </w:rPr>
        <w:t xml:space="preserve">El Sujeto Obligado en su respuesta refirió que </w:t>
      </w:r>
      <w:r w:rsidRPr="00762649">
        <w:rPr>
          <w:rFonts w:ascii="Palatino Linotype" w:hAnsi="Palatino Linotype" w:cs="Arial"/>
          <w:sz w:val="24"/>
          <w:szCs w:val="24"/>
          <w:lang w:val="es-ES"/>
        </w:rPr>
        <w:t>en el Sistema Integral de Información de Personal (SIIP)</w:t>
      </w:r>
      <w:r w:rsidRPr="00762649">
        <w:rPr>
          <w:rStyle w:val="Refdenotaalpie"/>
          <w:rFonts w:ascii="Palatino Linotype" w:hAnsi="Palatino Linotype" w:cs="Arial"/>
          <w:sz w:val="24"/>
          <w:szCs w:val="24"/>
          <w:lang w:val="es-ES"/>
        </w:rPr>
        <w:footnoteReference w:id="7"/>
      </w:r>
      <w:r w:rsidRPr="00762649">
        <w:rPr>
          <w:rFonts w:ascii="Palatino Linotype" w:hAnsi="Palatino Linotype" w:cs="Arial"/>
          <w:sz w:val="24"/>
          <w:szCs w:val="24"/>
          <w:lang w:val="es-ES"/>
        </w:rPr>
        <w:t xml:space="preserve"> no se identificó registro de </w:t>
      </w:r>
      <w:r w:rsidRPr="00762649">
        <w:rPr>
          <w:rFonts w:ascii="Palatino Linotype" w:hAnsi="Palatino Linotype" w:cs="Arial"/>
          <w:sz w:val="24"/>
          <w:szCs w:val="24"/>
        </w:rPr>
        <w:t>“</w:t>
      </w:r>
      <w:r w:rsidRPr="00762649">
        <w:rPr>
          <w:rFonts w:ascii="Palatino Linotype" w:hAnsi="Palatino Linotype" w:cs="Arial"/>
          <w:i/>
          <w:sz w:val="24"/>
          <w:szCs w:val="24"/>
        </w:rPr>
        <w:t xml:space="preserve">Oscar Vilchis </w:t>
      </w:r>
      <w:r w:rsidRPr="00762649">
        <w:rPr>
          <w:rFonts w:ascii="Palatino Linotype" w:hAnsi="Palatino Linotype" w:cs="Arial"/>
          <w:b/>
          <w:i/>
          <w:sz w:val="24"/>
          <w:szCs w:val="24"/>
          <w:u w:val="single"/>
        </w:rPr>
        <w:t>Gonzales</w:t>
      </w:r>
      <w:r w:rsidRPr="00762649">
        <w:rPr>
          <w:rFonts w:ascii="Palatino Linotype" w:hAnsi="Palatino Linotype" w:cs="Arial"/>
          <w:sz w:val="24"/>
          <w:szCs w:val="24"/>
        </w:rPr>
        <w:t>” (sic)</w:t>
      </w:r>
      <w:r w:rsidRPr="00762649">
        <w:rPr>
          <w:rFonts w:ascii="Palatino Linotype" w:hAnsi="Palatino Linotype" w:cs="Arial"/>
          <w:sz w:val="24"/>
          <w:szCs w:val="24"/>
          <w:lang w:val="es-ES"/>
        </w:rPr>
        <w:t xml:space="preserve">; sin embargo, bajo el principio de máxima se entregaba copia del FUMP de alta, el cual es único documento válido para trámites oficiales como nombramiento, del servidor </w:t>
      </w:r>
      <w:r w:rsidRPr="00762649">
        <w:rPr>
          <w:rFonts w:ascii="Palatino Linotype" w:hAnsi="Palatino Linotype" w:cs="Arial"/>
          <w:sz w:val="24"/>
          <w:szCs w:val="24"/>
          <w:lang w:val="es-ES"/>
        </w:rPr>
        <w:lastRenderedPageBreak/>
        <w:t xml:space="preserve">público Oscar Vilchis </w:t>
      </w:r>
      <w:r w:rsidRPr="00762649">
        <w:rPr>
          <w:rFonts w:ascii="Palatino Linotype" w:hAnsi="Palatino Linotype" w:cs="Arial"/>
          <w:b/>
          <w:sz w:val="24"/>
          <w:szCs w:val="24"/>
          <w:u w:val="single"/>
          <w:lang w:val="es-ES"/>
        </w:rPr>
        <w:t>González</w:t>
      </w:r>
      <w:r w:rsidRPr="00762649">
        <w:rPr>
          <w:rFonts w:ascii="Palatino Linotype" w:hAnsi="Palatino Linotype" w:cs="Arial"/>
          <w:sz w:val="24"/>
          <w:szCs w:val="24"/>
          <w:lang w:val="es-ES"/>
        </w:rPr>
        <w:t xml:space="preserve">, así como el FUMP de alta, de su puesto inmediato anterior como </w:t>
      </w:r>
      <w:proofErr w:type="spellStart"/>
      <w:r w:rsidRPr="00762649">
        <w:rPr>
          <w:rFonts w:ascii="Palatino Linotype" w:hAnsi="Palatino Linotype" w:cs="Arial"/>
          <w:sz w:val="24"/>
          <w:szCs w:val="24"/>
          <w:lang w:val="es-ES"/>
        </w:rPr>
        <w:t>Subcontralor</w:t>
      </w:r>
      <w:proofErr w:type="spellEnd"/>
      <w:r w:rsidRPr="00762649">
        <w:rPr>
          <w:rFonts w:ascii="Palatino Linotype" w:hAnsi="Palatino Linotype" w:cs="Arial"/>
          <w:sz w:val="24"/>
          <w:szCs w:val="24"/>
          <w:lang w:val="es-ES"/>
        </w:rPr>
        <w:t>. Asimismo, solicitó someter a consideración del Comité de Transparencia la clasificación como confidencial de los datos personales contenidos en los referidos Formatos. Finalmente, por lo que hace al resto de la información solicitada, precisó que no es competencia de dicha Unidad Administrativa.</w:t>
      </w:r>
    </w:p>
    <w:p w:rsidR="00762649" w:rsidRPr="00762649" w:rsidRDefault="00762649" w:rsidP="00762649">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p>
    <w:p w:rsidR="00762649" w:rsidRPr="00762649" w:rsidRDefault="00762649" w:rsidP="00FB12C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762649">
        <w:rPr>
          <w:rFonts w:ascii="Palatino Linotype" w:hAnsi="Palatino Linotype" w:cs="Arial"/>
          <w:sz w:val="24"/>
          <w:szCs w:val="24"/>
          <w:lang w:val="es-ES"/>
        </w:rPr>
        <w:t>Asimismo, remitió La resolución CT-2018-0079, emitida por el Comité de Transparencia de la Secretaría de Finanzas, de fecha 3 de agosto de 2018, mediante la cual, se clasificaron como confidenciales de los datos personales consistentes en: Registro Federal de Contribuyentes (RFC), domicilio particular, fecha y entidad de nacimiento, estado civil y tipo de sindicato, contenidos en los FUMP de alta, de fechas 12 de febrero de 2016 y 26 de julio de 2018, en la Secretaría de Infraestructura y la Secretaría de Obra Pública del Gobierno del Estado de México, respectivamente, correspondientes al servidor público Oscar Vilchis González.</w:t>
      </w:r>
    </w:p>
    <w:p w:rsidR="00762649" w:rsidRPr="00762649" w:rsidRDefault="00762649" w:rsidP="00762649">
      <w:pPr>
        <w:pStyle w:val="Prrafodelista"/>
        <w:rPr>
          <w:rFonts w:ascii="Palatino Linotype" w:hAnsi="Palatino Linotype" w:cs="Arial"/>
          <w:sz w:val="24"/>
          <w:szCs w:val="24"/>
          <w:lang w:val="es-ES"/>
        </w:rPr>
      </w:pPr>
    </w:p>
    <w:p w:rsidR="00762649" w:rsidRPr="00762649" w:rsidRDefault="00762649" w:rsidP="00FB12C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762649">
        <w:rPr>
          <w:rFonts w:ascii="Palatino Linotype" w:hAnsi="Palatino Linotype" w:cs="Arial"/>
          <w:sz w:val="24"/>
          <w:szCs w:val="24"/>
          <w:lang w:val="es-ES"/>
        </w:rPr>
        <w:t xml:space="preserve">La Ponencia </w:t>
      </w:r>
      <w:proofErr w:type="spellStart"/>
      <w:r w:rsidRPr="00762649">
        <w:rPr>
          <w:rFonts w:ascii="Palatino Linotype" w:hAnsi="Palatino Linotype" w:cs="Arial"/>
          <w:sz w:val="24"/>
          <w:szCs w:val="24"/>
          <w:lang w:val="es-ES"/>
        </w:rPr>
        <w:t>resolutora</w:t>
      </w:r>
      <w:proofErr w:type="spellEnd"/>
      <w:r w:rsidRPr="00762649">
        <w:rPr>
          <w:rFonts w:ascii="Palatino Linotype" w:hAnsi="Palatino Linotype" w:cs="Arial"/>
          <w:sz w:val="24"/>
          <w:szCs w:val="24"/>
          <w:lang w:val="es-ES"/>
        </w:rPr>
        <w:t xml:space="preserve"> indicó “por lo que hace a la información a que hace referencia en los numerales 3 al 5, se considera adecuado orientar al hoy RECURRENTE</w:t>
      </w:r>
      <w:r w:rsidRPr="00762649">
        <w:rPr>
          <w:rFonts w:ascii="Palatino Linotype" w:hAnsi="Palatino Linotype"/>
          <w:sz w:val="24"/>
          <w:szCs w:val="24"/>
          <w:lang w:eastAsia="es-ES_tradnl"/>
        </w:rPr>
        <w:t xml:space="preserve"> a efecto de que, si así conviene a sus interés, proceda a requerir dicha información ante los Sujetos Obligados competentes, a efecto de no dilatar el ejercicio del derecho accionado por el particular.</w:t>
      </w:r>
    </w:p>
    <w:p w:rsidR="00762649" w:rsidRPr="00762649" w:rsidRDefault="00762649" w:rsidP="00762649">
      <w:pPr>
        <w:pStyle w:val="Prrafodelista"/>
        <w:rPr>
          <w:rFonts w:ascii="Palatino Linotype" w:hAnsi="Palatino Linotype" w:cs="Arial"/>
          <w:sz w:val="24"/>
          <w:szCs w:val="24"/>
          <w:lang w:val="es-ES"/>
        </w:rPr>
      </w:pPr>
    </w:p>
    <w:p w:rsidR="00762649" w:rsidRPr="00762649" w:rsidRDefault="00762649" w:rsidP="00762649">
      <w:pPr>
        <w:pStyle w:val="Prrafodelista"/>
        <w:widowControl w:val="0"/>
        <w:autoSpaceDE w:val="0"/>
        <w:autoSpaceDN w:val="0"/>
        <w:adjustRightInd w:val="0"/>
        <w:spacing w:before="240" w:after="240" w:line="360" w:lineRule="auto"/>
        <w:ind w:left="0"/>
        <w:jc w:val="both"/>
        <w:rPr>
          <w:rFonts w:ascii="Palatino Linotype" w:hAnsi="Palatino Linotype" w:cs="Arial"/>
          <w:sz w:val="24"/>
          <w:szCs w:val="24"/>
          <w:lang w:val="es-ES"/>
        </w:rPr>
      </w:pPr>
    </w:p>
    <w:p w:rsidR="00762649" w:rsidRPr="00762649" w:rsidRDefault="00762649" w:rsidP="00FB12C0">
      <w:pPr>
        <w:pStyle w:val="Prrafodelista"/>
        <w:widowControl w:val="0"/>
        <w:numPr>
          <w:ilvl w:val="0"/>
          <w:numId w:val="11"/>
        </w:numPr>
        <w:autoSpaceDE w:val="0"/>
        <w:autoSpaceDN w:val="0"/>
        <w:adjustRightInd w:val="0"/>
        <w:spacing w:before="240" w:after="240" w:line="360" w:lineRule="auto"/>
        <w:ind w:left="0"/>
        <w:jc w:val="both"/>
        <w:rPr>
          <w:rFonts w:ascii="Palatino Linotype" w:hAnsi="Palatino Linotype" w:cs="Arial"/>
          <w:sz w:val="24"/>
          <w:szCs w:val="24"/>
          <w:lang w:val="es-ES"/>
        </w:rPr>
      </w:pPr>
      <w:r w:rsidRPr="00762649">
        <w:rPr>
          <w:rFonts w:ascii="Palatino Linotype" w:hAnsi="Palatino Linotype" w:cs="Arial"/>
          <w:sz w:val="24"/>
          <w:szCs w:val="24"/>
          <w:lang w:val="es-ES"/>
        </w:rPr>
        <w:lastRenderedPageBreak/>
        <w:t>Además, en el cuerpo del estudio, se plasmó lo siguiente:</w:t>
      </w:r>
    </w:p>
    <w:p w:rsidR="00762649" w:rsidRPr="00762649" w:rsidRDefault="00762649" w:rsidP="00762649">
      <w:pPr>
        <w:pStyle w:val="Prrafodelista"/>
        <w:rPr>
          <w:rFonts w:ascii="Palatino Linotype" w:hAnsi="Palatino Linotype" w:cs="Arial"/>
          <w:lang w:val="es-ES"/>
        </w:rPr>
      </w:pPr>
    </w:p>
    <w:p w:rsidR="00762649" w:rsidRPr="00762649" w:rsidRDefault="00762649" w:rsidP="00762649">
      <w:pPr>
        <w:pStyle w:val="Prrafodelista"/>
        <w:widowControl w:val="0"/>
        <w:autoSpaceDE w:val="0"/>
        <w:autoSpaceDN w:val="0"/>
        <w:adjustRightInd w:val="0"/>
        <w:spacing w:before="240" w:after="240" w:line="360" w:lineRule="auto"/>
        <w:ind w:left="567" w:right="616"/>
        <w:jc w:val="both"/>
        <w:rPr>
          <w:rFonts w:ascii="Palatino Linotype" w:hAnsi="Palatino Linotype" w:cs="Arial"/>
          <w:i/>
          <w:sz w:val="20"/>
          <w:szCs w:val="20"/>
        </w:rPr>
      </w:pPr>
      <w:r>
        <w:rPr>
          <w:rFonts w:ascii="Palatino Linotype" w:hAnsi="Palatino Linotype"/>
          <w:i/>
          <w:sz w:val="20"/>
          <w:szCs w:val="20"/>
          <w:lang w:eastAsia="es-ES_tradnl"/>
        </w:rPr>
        <w:t>“</w:t>
      </w:r>
      <w:r w:rsidRPr="00762649">
        <w:rPr>
          <w:rFonts w:ascii="Palatino Linotype" w:hAnsi="Palatino Linotype"/>
          <w:i/>
          <w:sz w:val="20"/>
          <w:szCs w:val="20"/>
          <w:lang w:eastAsia="es-ES_tradnl"/>
        </w:rPr>
        <w:t xml:space="preserve">Así, con relación a la información del </w:t>
      </w:r>
      <w:r w:rsidRPr="00762649">
        <w:rPr>
          <w:rFonts w:ascii="Palatino Linotype" w:hAnsi="Palatino Linotype"/>
          <w:b/>
          <w:i/>
          <w:sz w:val="20"/>
          <w:szCs w:val="20"/>
          <w:lang w:eastAsia="es-ES_tradnl"/>
        </w:rPr>
        <w:t>numeral 3</w:t>
      </w:r>
      <w:r w:rsidRPr="00762649">
        <w:rPr>
          <w:rFonts w:ascii="Palatino Linotype" w:hAnsi="Palatino Linotype"/>
          <w:i/>
          <w:sz w:val="20"/>
          <w:szCs w:val="20"/>
          <w:lang w:eastAsia="es-ES_tradnl"/>
        </w:rPr>
        <w:t xml:space="preserve"> referente al </w:t>
      </w:r>
      <w:r w:rsidRPr="00762649">
        <w:rPr>
          <w:rFonts w:ascii="Palatino Linotype" w:eastAsia="Calibri" w:hAnsi="Palatino Linotype" w:cs="Arial"/>
          <w:i/>
          <w:sz w:val="20"/>
          <w:szCs w:val="20"/>
        </w:rPr>
        <w:t xml:space="preserve">acta de Entrega y Recepción del puesto anterior como </w:t>
      </w:r>
      <w:proofErr w:type="spellStart"/>
      <w:r w:rsidRPr="00762649">
        <w:rPr>
          <w:rFonts w:ascii="Palatino Linotype" w:eastAsia="Calibri" w:hAnsi="Palatino Linotype" w:cs="Arial"/>
          <w:i/>
          <w:sz w:val="20"/>
          <w:szCs w:val="20"/>
        </w:rPr>
        <w:t>Subcontralor</w:t>
      </w:r>
      <w:proofErr w:type="spellEnd"/>
      <w:r w:rsidRPr="00762649">
        <w:rPr>
          <w:rFonts w:ascii="Palatino Linotype" w:eastAsia="Calibri" w:hAnsi="Palatino Linotype" w:cs="Arial"/>
          <w:i/>
          <w:sz w:val="20"/>
          <w:szCs w:val="20"/>
        </w:rPr>
        <w:t xml:space="preserve"> Interno de Agua y Obra Pública, de la Contraloría Interna de la Secretaría de Infraestructura, debe observarse lo señalado </w:t>
      </w:r>
      <w:r w:rsidRPr="00762649">
        <w:rPr>
          <w:rFonts w:ascii="Palatino Linotype" w:hAnsi="Palatino Linotype" w:cs="Arial"/>
          <w:i/>
          <w:sz w:val="20"/>
          <w:szCs w:val="20"/>
        </w:rPr>
        <w:t>en el artículo 38 Bis, primer y segundo párrafos, fracción XXI, de la Ley Orgánica de la Administración Pública del Estado de México, que a la letra indica:</w:t>
      </w:r>
    </w:p>
    <w:p w:rsidR="00762649" w:rsidRPr="00762649" w:rsidRDefault="00762649" w:rsidP="00762649">
      <w:pPr>
        <w:spacing w:before="160"/>
        <w:ind w:left="567" w:right="616"/>
        <w:jc w:val="both"/>
        <w:rPr>
          <w:rFonts w:ascii="Palatino Linotype" w:hAnsi="Palatino Linotype" w:cs="Arial"/>
          <w:i/>
          <w:sz w:val="20"/>
          <w:szCs w:val="20"/>
        </w:rPr>
      </w:pPr>
      <w:r w:rsidRPr="00762649">
        <w:rPr>
          <w:rFonts w:ascii="Palatino Linotype" w:hAnsi="Palatino Linotype" w:cs="Arial"/>
          <w:i/>
          <w:sz w:val="20"/>
          <w:szCs w:val="20"/>
        </w:rPr>
        <w:t>“</w:t>
      </w:r>
      <w:r w:rsidRPr="00762649">
        <w:rPr>
          <w:rFonts w:ascii="Palatino Linotype" w:hAnsi="Palatino Linotype" w:cs="Arial"/>
          <w:b/>
          <w:i/>
          <w:sz w:val="20"/>
          <w:szCs w:val="20"/>
        </w:rPr>
        <w:t xml:space="preserve">Artículo 38 bis. </w:t>
      </w:r>
      <w:r w:rsidRPr="00762649">
        <w:rPr>
          <w:rFonts w:ascii="Palatino Linotype" w:hAnsi="Palatino Linotype" w:cs="Arial"/>
          <w:b/>
          <w:i/>
          <w:sz w:val="20"/>
          <w:szCs w:val="20"/>
          <w:u w:val="single"/>
        </w:rPr>
        <w:t>La Secretaría de la Contraloría del Estado de México, es la dependencia encargada de la vigilancia</w:t>
      </w:r>
      <w:r w:rsidRPr="00762649">
        <w:rPr>
          <w:rFonts w:ascii="Palatino Linotype" w:hAnsi="Palatino Linotype" w:cs="Arial"/>
          <w:i/>
          <w:sz w:val="20"/>
          <w:szCs w:val="20"/>
        </w:rPr>
        <w:t xml:space="preserve">, fiscalización y control </w:t>
      </w:r>
      <w:r w:rsidRPr="00762649">
        <w:rPr>
          <w:rFonts w:ascii="Palatino Linotype" w:hAnsi="Palatino Linotype" w:cs="Arial"/>
          <w:b/>
          <w:i/>
          <w:sz w:val="20"/>
          <w:szCs w:val="20"/>
          <w:u w:val="single"/>
        </w:rPr>
        <w:t>de los</w:t>
      </w:r>
      <w:r w:rsidRPr="00762649">
        <w:rPr>
          <w:rFonts w:ascii="Palatino Linotype" w:hAnsi="Palatino Linotype" w:cs="Arial"/>
          <w:i/>
          <w:sz w:val="20"/>
          <w:szCs w:val="20"/>
        </w:rPr>
        <w:t xml:space="preserve"> ingresos, gastos, recursos y </w:t>
      </w:r>
      <w:r w:rsidRPr="00762649">
        <w:rPr>
          <w:rFonts w:ascii="Palatino Linotype" w:hAnsi="Palatino Linotype" w:cs="Arial"/>
          <w:b/>
          <w:i/>
          <w:sz w:val="20"/>
          <w:szCs w:val="20"/>
          <w:u w:val="single"/>
        </w:rPr>
        <w:t>obligaciones de la administración pública estatal</w:t>
      </w:r>
      <w:r w:rsidRPr="00762649">
        <w:rPr>
          <w:rFonts w:ascii="Palatino Linotype" w:hAnsi="Palatino Linotype" w:cs="Arial"/>
          <w:i/>
          <w:sz w:val="20"/>
          <w:szCs w:val="20"/>
        </w:rPr>
        <w:t xml:space="preserve">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u w:val="single"/>
        </w:rPr>
        <w:t>A la propia Secretaría, le corresponde el despacho de los siguientes asuntos</w:t>
      </w: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rPr>
        <w:t xml:space="preserve">XXI. </w:t>
      </w:r>
      <w:r w:rsidRPr="00762649">
        <w:rPr>
          <w:rFonts w:ascii="Palatino Linotype" w:hAnsi="Palatino Linotype"/>
          <w:b/>
          <w:i/>
          <w:sz w:val="20"/>
          <w:szCs w:val="20"/>
          <w:u w:val="single"/>
        </w:rPr>
        <w:t>Intervenir para efectos de verificación en las actas de entrega-recepción de las unidades administrativas de las dependencias</w:t>
      </w:r>
      <w:r w:rsidRPr="00762649">
        <w:rPr>
          <w:rFonts w:ascii="Palatino Linotype" w:hAnsi="Palatino Linotype"/>
          <w:i/>
          <w:sz w:val="20"/>
          <w:szCs w:val="20"/>
        </w:rPr>
        <w:t>, organismos auxiliares y fideicomisos del Ejecutivo.</w:t>
      </w:r>
    </w:p>
    <w:p w:rsidR="00762649" w:rsidRPr="00762649" w:rsidRDefault="00762649" w:rsidP="00762649">
      <w:pPr>
        <w:spacing w:before="160"/>
        <w:ind w:left="567" w:right="616"/>
        <w:jc w:val="both"/>
        <w:rPr>
          <w:rFonts w:ascii="Palatino Linotype" w:hAnsi="Palatino Linotype" w:cs="Arial"/>
          <w:i/>
          <w:sz w:val="20"/>
          <w:szCs w:val="20"/>
        </w:rPr>
      </w:pPr>
      <w:r w:rsidRPr="00762649">
        <w:rPr>
          <w:rFonts w:ascii="Palatino Linotype" w:hAnsi="Palatino Linotype" w:cs="Arial"/>
          <w:i/>
          <w:sz w:val="20"/>
          <w:szCs w:val="20"/>
        </w:rPr>
        <w:t>(Énfasis añadido)</w:t>
      </w:r>
    </w:p>
    <w:p w:rsidR="00762649" w:rsidRPr="00762649" w:rsidRDefault="00762649" w:rsidP="00762649">
      <w:pPr>
        <w:spacing w:line="360" w:lineRule="auto"/>
        <w:ind w:left="567" w:right="616"/>
        <w:jc w:val="both"/>
        <w:rPr>
          <w:rFonts w:ascii="Palatino Linotype" w:eastAsia="Calibri" w:hAnsi="Palatino Linotype" w:cs="Arial"/>
          <w:i/>
          <w:sz w:val="20"/>
          <w:szCs w:val="20"/>
          <w:lang w:eastAsia="es-MX"/>
        </w:rPr>
      </w:pPr>
      <w:r w:rsidRPr="00762649">
        <w:rPr>
          <w:rFonts w:ascii="Palatino Linotype" w:eastAsia="Calibri" w:hAnsi="Palatino Linotype" w:cs="Arial"/>
          <w:i/>
          <w:sz w:val="20"/>
          <w:szCs w:val="20"/>
          <w:lang w:eastAsia="es-MX"/>
        </w:rPr>
        <w:t>Por su parte, los artículos 3, 4, 10 y 11, del Reglamento para la Entrega y Recepción de las Unidades Administrativas de la Administración Pública del Estado de México, establecen:</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w:t>
      </w:r>
      <w:r w:rsidRPr="00762649">
        <w:rPr>
          <w:rFonts w:ascii="Palatino Linotype" w:hAnsi="Palatino Linotype"/>
          <w:b/>
          <w:i/>
          <w:sz w:val="20"/>
          <w:szCs w:val="20"/>
        </w:rPr>
        <w:t>Artículo 3.-</w:t>
      </w:r>
      <w:r w:rsidRPr="00762649">
        <w:rPr>
          <w:rFonts w:ascii="Palatino Linotype" w:hAnsi="Palatino Linotype"/>
          <w:i/>
          <w:sz w:val="20"/>
          <w:szCs w:val="20"/>
        </w:rPr>
        <w:t xml:space="preserve"> </w:t>
      </w:r>
      <w:r w:rsidRPr="00762649">
        <w:rPr>
          <w:rFonts w:ascii="Palatino Linotype" w:hAnsi="Palatino Linotype"/>
          <w:b/>
          <w:i/>
          <w:sz w:val="20"/>
          <w:szCs w:val="20"/>
          <w:u w:val="single"/>
        </w:rPr>
        <w:t>La Entrega y Recepción se realizará cuando un servidor público se separe de su empleo, cargo o comisión, por cualquier motivo</w:t>
      </w:r>
      <w:r w:rsidRPr="00762649">
        <w:rPr>
          <w:rFonts w:ascii="Palatino Linotype" w:hAnsi="Palatino Linotype"/>
          <w:i/>
          <w:sz w:val="20"/>
          <w:szCs w:val="20"/>
        </w:rPr>
        <w:t xml:space="preserve">, incluyendo licencias, suplencias, encargos o Término del Periodo Constitucional. </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b/>
          <w:i/>
          <w:sz w:val="20"/>
          <w:szCs w:val="20"/>
          <w:u w:val="single"/>
        </w:rPr>
        <w:t>La Entrega y Recepción también deberá de llevarse a cabo en los casos de</w:t>
      </w:r>
      <w:r w:rsidRPr="00762649">
        <w:rPr>
          <w:rFonts w:ascii="Palatino Linotype" w:hAnsi="Palatino Linotype"/>
          <w:i/>
          <w:sz w:val="20"/>
          <w:szCs w:val="20"/>
        </w:rPr>
        <w:t xml:space="preserve"> escisión, eliminación, readscripción, descentralización, desconcentración, </w:t>
      </w:r>
      <w:r w:rsidRPr="00762649">
        <w:rPr>
          <w:rFonts w:ascii="Palatino Linotype" w:hAnsi="Palatino Linotype"/>
          <w:b/>
          <w:i/>
          <w:sz w:val="20"/>
          <w:szCs w:val="20"/>
          <w:u w:val="single"/>
        </w:rPr>
        <w:t xml:space="preserve">extinción, </w:t>
      </w:r>
      <w:r w:rsidRPr="00762649">
        <w:rPr>
          <w:rFonts w:ascii="Palatino Linotype" w:hAnsi="Palatino Linotype"/>
          <w:i/>
          <w:sz w:val="20"/>
          <w:szCs w:val="20"/>
        </w:rPr>
        <w:t xml:space="preserve">liquidación o fusión, </w:t>
      </w:r>
      <w:r w:rsidRPr="00762649">
        <w:rPr>
          <w:rFonts w:ascii="Palatino Linotype" w:hAnsi="Palatino Linotype"/>
          <w:b/>
          <w:i/>
          <w:sz w:val="20"/>
          <w:szCs w:val="20"/>
          <w:u w:val="single"/>
        </w:rPr>
        <w:t>de Unidades Administrativas, Dependencias</w:t>
      </w:r>
      <w:r w:rsidRPr="00762649">
        <w:rPr>
          <w:rFonts w:ascii="Palatino Linotype" w:hAnsi="Palatino Linotype"/>
          <w:i/>
          <w:sz w:val="20"/>
          <w:szCs w:val="20"/>
        </w:rPr>
        <w:t xml:space="preserve"> u Organismos Auxiliares, según corresponda, </w:t>
      </w:r>
      <w:r w:rsidRPr="00762649">
        <w:rPr>
          <w:rFonts w:ascii="Palatino Linotype" w:hAnsi="Palatino Linotype"/>
          <w:b/>
          <w:i/>
          <w:sz w:val="20"/>
          <w:szCs w:val="20"/>
          <w:u w:val="single"/>
        </w:rPr>
        <w:t>que impliquen la transferencia total o parcial de Unidades Administrativas o funciones, independientemente de que haya continuidad de servidores públicos</w:t>
      </w:r>
      <w:r w:rsidRPr="00762649">
        <w:rPr>
          <w:rFonts w:ascii="Palatino Linotype" w:hAnsi="Palatino Linotype"/>
          <w:i/>
          <w:sz w:val="20"/>
          <w:szCs w:val="20"/>
        </w:rPr>
        <w:t>.</w:t>
      </w:r>
    </w:p>
    <w:p w:rsidR="00762649" w:rsidRPr="00762649" w:rsidRDefault="00762649" w:rsidP="00762649">
      <w:pPr>
        <w:spacing w:before="120" w:after="120"/>
        <w:ind w:left="567" w:right="616"/>
        <w:jc w:val="both"/>
        <w:rPr>
          <w:rFonts w:ascii="Palatino Linotype" w:hAnsi="Palatino Linotype" w:cs="Arial"/>
          <w:i/>
          <w:sz w:val="20"/>
          <w:szCs w:val="20"/>
        </w:rPr>
      </w:pPr>
      <w:r w:rsidRPr="00762649">
        <w:rPr>
          <w:rFonts w:ascii="Palatino Linotype" w:hAnsi="Palatino Linotype" w:cs="Arial"/>
          <w:b/>
          <w:i/>
          <w:sz w:val="20"/>
          <w:szCs w:val="20"/>
        </w:rPr>
        <w:lastRenderedPageBreak/>
        <w:t>Artículo 4.</w:t>
      </w:r>
      <w:r w:rsidRPr="00762649">
        <w:rPr>
          <w:rFonts w:ascii="Palatino Linotype" w:hAnsi="Palatino Linotype" w:cs="Arial"/>
          <w:i/>
          <w:sz w:val="20"/>
          <w:szCs w:val="20"/>
        </w:rPr>
        <w:t xml:space="preserve"> </w:t>
      </w:r>
      <w:r w:rsidRPr="00762649">
        <w:rPr>
          <w:rFonts w:ascii="Palatino Linotype" w:hAnsi="Palatino Linotype" w:cs="Arial"/>
          <w:b/>
          <w:i/>
          <w:sz w:val="20"/>
          <w:szCs w:val="20"/>
          <w:u w:val="single"/>
        </w:rPr>
        <w:t>Son sujetos obligados a la Entrega y Recepción, los servidores públicos desde el Gobernador del Estado hasta Jefes de Departamento</w:t>
      </w:r>
      <w:r w:rsidRPr="00762649">
        <w:rPr>
          <w:rFonts w:ascii="Palatino Linotype" w:hAnsi="Palatino Linotype" w:cs="Arial"/>
          <w:i/>
          <w:sz w:val="20"/>
          <w:szCs w:val="20"/>
        </w:rPr>
        <w:t>, así como sus equivalentes en los Organismos Auxiliares.</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 xml:space="preserve">Los titulares, suplentes o encargados de las Unidades Administrativas, desde el Gobernador hasta Jefes de Departamento, así como sus equivalentes en los Organismos Auxiliares, deberán entregar su oficina y las Unidades Administrativas a su cargo, conforme a lo establecido en el Manual. </w:t>
      </w:r>
    </w:p>
    <w:p w:rsidR="00762649" w:rsidRPr="00762649" w:rsidRDefault="00762649" w:rsidP="00762649">
      <w:pPr>
        <w:spacing w:before="120" w:after="120"/>
        <w:ind w:left="567" w:right="616"/>
        <w:jc w:val="both"/>
        <w:rPr>
          <w:rFonts w:ascii="Palatino Linotype" w:hAnsi="Palatino Linotype" w:cs="Arial"/>
          <w:i/>
          <w:sz w:val="20"/>
          <w:szCs w:val="20"/>
        </w:rPr>
      </w:pPr>
      <w:r w:rsidRPr="00762649">
        <w:rPr>
          <w:rFonts w:ascii="Palatino Linotype" w:hAnsi="Palatino Linotype"/>
          <w:i/>
          <w:sz w:val="20"/>
          <w:szCs w:val="20"/>
        </w:rPr>
        <w:t>El titular de la Dependencia u Organismo Auxiliar determinará, mediante acuerdo publicado en la “Gaceta del Gobierno”, a los servidores públicos de puestos distintos a los señalados en este artículo, que sean responsables de fondos, valores, almacenes, bienes, documentos, funciones, actividades o asuntos que considere de importancia, como sujetos obligados a la Entrega y Recepción, informando de ello, mediante oficio, a la Contraloría.</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b/>
          <w:i/>
          <w:sz w:val="20"/>
          <w:szCs w:val="20"/>
        </w:rPr>
        <w:t>Artículo 10</w:t>
      </w:r>
      <w:r w:rsidRPr="00762649">
        <w:rPr>
          <w:rFonts w:ascii="Palatino Linotype" w:hAnsi="Palatino Linotype"/>
          <w:i/>
          <w:sz w:val="20"/>
          <w:szCs w:val="20"/>
        </w:rPr>
        <w:t xml:space="preserve">. </w:t>
      </w:r>
      <w:r w:rsidRPr="00762649">
        <w:rPr>
          <w:rFonts w:ascii="Palatino Linotype" w:hAnsi="Palatino Linotype"/>
          <w:b/>
          <w:i/>
          <w:sz w:val="20"/>
          <w:szCs w:val="20"/>
          <w:u w:val="single"/>
        </w:rPr>
        <w:t>La Entrega y Recepción deberá documentarse en un acta administrativa y sus anexos, en la que intervendrán los sujetos obligados</w:t>
      </w:r>
      <w:r w:rsidRPr="00762649">
        <w:rPr>
          <w:rFonts w:ascii="Palatino Linotype" w:hAnsi="Palatino Linotype"/>
          <w:i/>
          <w:sz w:val="20"/>
          <w:szCs w:val="20"/>
        </w:rPr>
        <w:t xml:space="preserve">, </w:t>
      </w:r>
      <w:r w:rsidRPr="00762649">
        <w:rPr>
          <w:rFonts w:ascii="Palatino Linotype" w:hAnsi="Palatino Linotype"/>
          <w:b/>
          <w:i/>
          <w:sz w:val="20"/>
          <w:szCs w:val="20"/>
          <w:u w:val="single"/>
        </w:rPr>
        <w:t>los testigos correspondientes, el representante del Órgano de Control Interno y, a falta de éste, el de la Contraloría</w:t>
      </w:r>
      <w:r w:rsidRPr="00762649">
        <w:rPr>
          <w:rFonts w:ascii="Palatino Linotype" w:hAnsi="Palatino Linotype"/>
          <w:i/>
          <w:sz w:val="20"/>
          <w:szCs w:val="20"/>
        </w:rPr>
        <w:t xml:space="preserve">. </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 xml:space="preserve">El acta se firmará de manera autógrafa dentro de los cinco días hábiles siguientes, al día en que se presentó el supuesto conforme al </w:t>
      </w:r>
      <w:r w:rsidRPr="00762649">
        <w:rPr>
          <w:rFonts w:ascii="Palatino Linotype" w:hAnsi="Palatino Linotype" w:cs="Arial"/>
          <w:i/>
          <w:sz w:val="20"/>
          <w:szCs w:val="20"/>
        </w:rPr>
        <w:t>artículo</w:t>
      </w:r>
      <w:r w:rsidRPr="00762649">
        <w:rPr>
          <w:rFonts w:ascii="Palatino Linotype" w:hAnsi="Palatino Linotype"/>
          <w:i/>
          <w:sz w:val="20"/>
          <w:szCs w:val="20"/>
        </w:rPr>
        <w:t xml:space="preserve"> 3 del presente Reglamento. </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Los anexos del acta serán firmados por quienes los elaboren y por el servidor público que entregue la Unidad Administrativa correspondiente.</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b/>
          <w:i/>
          <w:sz w:val="20"/>
          <w:szCs w:val="20"/>
        </w:rPr>
        <w:t>Artículo 11.</w:t>
      </w:r>
      <w:r w:rsidRPr="00762649">
        <w:rPr>
          <w:rFonts w:ascii="Palatino Linotype" w:hAnsi="Palatino Linotype"/>
          <w:i/>
          <w:sz w:val="20"/>
          <w:szCs w:val="20"/>
        </w:rPr>
        <w:t xml:space="preserve"> </w:t>
      </w:r>
      <w:r w:rsidRPr="00762649">
        <w:rPr>
          <w:rFonts w:ascii="Palatino Linotype" w:hAnsi="Palatino Linotype"/>
          <w:b/>
          <w:i/>
          <w:sz w:val="20"/>
          <w:szCs w:val="20"/>
          <w:u w:val="single"/>
        </w:rPr>
        <w:t>El acta y sus anexos se elaborarán en original y dos copias; el original quedará bajo resguardo del servidor público que recibe; una copia será para quien entrega; y otra para el Órgano de Control Interno, y a falta de éste a la Contraloría</w:t>
      </w:r>
      <w:r w:rsidRPr="00762649">
        <w:rPr>
          <w:rFonts w:ascii="Palatino Linotype" w:hAnsi="Palatino Linotype"/>
          <w:i/>
          <w:sz w:val="20"/>
          <w:szCs w:val="20"/>
        </w:rPr>
        <w:t xml:space="preserve">. </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 xml:space="preserve">Cuando el Órgano de Control Interno o la Contraloría no hubieren intervenido, la copia respectiva le será </w:t>
      </w:r>
      <w:r w:rsidRPr="00762649">
        <w:rPr>
          <w:rFonts w:ascii="Palatino Linotype" w:hAnsi="Palatino Linotype" w:cs="Arial"/>
          <w:i/>
          <w:sz w:val="20"/>
          <w:szCs w:val="20"/>
        </w:rPr>
        <w:t>enviada</w:t>
      </w:r>
      <w:r w:rsidRPr="00762649">
        <w:rPr>
          <w:rFonts w:ascii="Palatino Linotype" w:hAnsi="Palatino Linotype"/>
          <w:i/>
          <w:sz w:val="20"/>
          <w:szCs w:val="20"/>
        </w:rPr>
        <w:t xml:space="preserve"> por el servidor público que recibe, dentro de los cinco días hábiles siguientes al acto de Entrega y Recepción.</w:t>
      </w:r>
    </w:p>
    <w:p w:rsidR="00762649" w:rsidRPr="00762649" w:rsidRDefault="00762649" w:rsidP="00762649">
      <w:pPr>
        <w:spacing w:before="120" w:after="120"/>
        <w:ind w:left="567" w:right="616"/>
        <w:jc w:val="both"/>
        <w:rPr>
          <w:rFonts w:ascii="Palatino Linotype" w:hAnsi="Palatino Linotype" w:cs="Arial"/>
          <w:i/>
          <w:sz w:val="20"/>
          <w:szCs w:val="20"/>
        </w:rPr>
      </w:pPr>
      <w:r w:rsidRPr="00762649">
        <w:rPr>
          <w:rFonts w:ascii="Palatino Linotype" w:hAnsi="Palatino Linotype" w:cs="Arial"/>
          <w:i/>
          <w:sz w:val="20"/>
          <w:szCs w:val="20"/>
        </w:rPr>
        <w:t>(Énfasis añadido)</w:t>
      </w:r>
    </w:p>
    <w:p w:rsidR="00762649" w:rsidRPr="00762649" w:rsidRDefault="00762649" w:rsidP="00762649">
      <w:pPr>
        <w:pStyle w:val="Prrafodelista"/>
        <w:widowControl w:val="0"/>
        <w:autoSpaceDE w:val="0"/>
        <w:autoSpaceDN w:val="0"/>
        <w:adjustRightInd w:val="0"/>
        <w:spacing w:before="240" w:after="200" w:line="360" w:lineRule="auto"/>
        <w:ind w:left="567" w:right="616"/>
        <w:jc w:val="both"/>
        <w:rPr>
          <w:rFonts w:ascii="Palatino Linotype" w:hAnsi="Palatino Linotype" w:cs="Arial"/>
          <w:i/>
          <w:sz w:val="20"/>
          <w:szCs w:val="20"/>
        </w:rPr>
      </w:pPr>
      <w:r w:rsidRPr="00762649">
        <w:rPr>
          <w:rFonts w:ascii="Palatino Linotype" w:eastAsia="Calibri" w:hAnsi="Palatino Linotype" w:cs="Arial"/>
          <w:i/>
          <w:sz w:val="20"/>
          <w:szCs w:val="20"/>
        </w:rPr>
        <w:t>Finalmente, el Manual para la Entrega y Recepción de las Unidades Administrativas de la Administración Pública del Estado de México</w:t>
      </w:r>
      <w:r w:rsidRPr="00762649">
        <w:rPr>
          <w:rFonts w:ascii="Palatino Linotype" w:hAnsi="Palatino Linotype" w:cs="Arial"/>
          <w:i/>
          <w:sz w:val="20"/>
          <w:szCs w:val="20"/>
        </w:rPr>
        <w:t>, precisa lo siguiente:</w:t>
      </w:r>
    </w:p>
    <w:p w:rsidR="00762649" w:rsidRPr="00762649" w:rsidRDefault="00762649" w:rsidP="00762649">
      <w:pPr>
        <w:spacing w:before="80" w:after="80"/>
        <w:ind w:left="567" w:right="616"/>
        <w:jc w:val="right"/>
        <w:rPr>
          <w:rFonts w:ascii="Palatino Linotype" w:hAnsi="Palatino Linotype"/>
          <w:i/>
          <w:sz w:val="20"/>
          <w:szCs w:val="20"/>
        </w:rPr>
      </w:pPr>
      <w:r w:rsidRPr="00762649">
        <w:rPr>
          <w:rFonts w:ascii="Palatino Linotype" w:hAnsi="Palatino Linotype"/>
          <w:i/>
          <w:sz w:val="20"/>
          <w:szCs w:val="20"/>
        </w:rPr>
        <w:t>“</w:t>
      </w:r>
      <w:r w:rsidRPr="00762649">
        <w:rPr>
          <w:rFonts w:ascii="Palatino Linotype" w:hAnsi="Palatino Linotype"/>
          <w:b/>
          <w:i/>
          <w:sz w:val="20"/>
          <w:szCs w:val="20"/>
        </w:rPr>
        <w:t>OBJETIVO</w:t>
      </w:r>
      <w:r w:rsidRPr="00762649">
        <w:rPr>
          <w:rFonts w:ascii="Palatino Linotype" w:hAnsi="Palatino Linotype"/>
          <w:i/>
          <w:sz w:val="20"/>
          <w:szCs w:val="20"/>
        </w:rPr>
        <w:t>:</w:t>
      </w:r>
    </w:p>
    <w:p w:rsidR="00762649" w:rsidRPr="00762649" w:rsidRDefault="00762649" w:rsidP="00762649">
      <w:pPr>
        <w:spacing w:before="80" w:after="80"/>
        <w:ind w:left="567" w:right="616"/>
        <w:jc w:val="both"/>
        <w:rPr>
          <w:rFonts w:ascii="Palatino Linotype" w:hAnsi="Palatino Linotype"/>
          <w:i/>
          <w:sz w:val="20"/>
          <w:szCs w:val="20"/>
        </w:rPr>
      </w:pPr>
      <w:r w:rsidRPr="00762649">
        <w:rPr>
          <w:rFonts w:ascii="Palatino Linotype" w:hAnsi="Palatino Linotype"/>
          <w:b/>
          <w:i/>
          <w:sz w:val="20"/>
          <w:szCs w:val="20"/>
          <w:u w:val="single"/>
        </w:rPr>
        <w:t xml:space="preserve">El presente Manual tiene como objetivo mejorar la calidad y eficiencia de las actividades de Entrega y Recepción de las Unidades Administrativas de la </w:t>
      </w:r>
      <w:r w:rsidRPr="00762649">
        <w:rPr>
          <w:rFonts w:ascii="Palatino Linotype" w:hAnsi="Palatino Linotype"/>
          <w:b/>
          <w:i/>
          <w:sz w:val="20"/>
          <w:szCs w:val="20"/>
          <w:u w:val="single"/>
        </w:rPr>
        <w:lastRenderedPageBreak/>
        <w:t>Administración Pública del Estado de México, mediante la formalización y estandarización de la metodología y el establecimiento de políticas</w:t>
      </w:r>
      <w:r w:rsidRPr="00762649">
        <w:rPr>
          <w:rFonts w:ascii="Palatino Linotype" w:hAnsi="Palatino Linotype"/>
          <w:i/>
          <w:sz w:val="20"/>
          <w:szCs w:val="20"/>
        </w:rPr>
        <w:t xml:space="preserve"> y formatos aplicables para la entrega y recepción de las oficinas públicas, así como para orientar a los servidores públicos obligados en la materia.</w:t>
      </w:r>
    </w:p>
    <w:p w:rsidR="00762649" w:rsidRPr="00762649" w:rsidRDefault="00762649" w:rsidP="00762649">
      <w:pPr>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ind w:left="567" w:right="616"/>
        <w:jc w:val="right"/>
        <w:rPr>
          <w:rFonts w:ascii="Palatino Linotype" w:hAnsi="Palatino Linotype"/>
          <w:b/>
          <w:i/>
          <w:sz w:val="20"/>
          <w:szCs w:val="20"/>
        </w:rPr>
      </w:pPr>
      <w:r w:rsidRPr="00762649">
        <w:rPr>
          <w:rFonts w:ascii="Palatino Linotype" w:hAnsi="Palatino Linotype"/>
          <w:b/>
          <w:i/>
          <w:sz w:val="20"/>
          <w:szCs w:val="20"/>
        </w:rPr>
        <w:t>DESCRIPCIÓN DEL PROCEDIMIENTO:</w:t>
      </w:r>
    </w:p>
    <w:p w:rsidR="00762649" w:rsidRPr="00762649" w:rsidRDefault="00762649" w:rsidP="00762649">
      <w:pPr>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b/>
          <w:i/>
          <w:sz w:val="20"/>
          <w:szCs w:val="20"/>
        </w:rPr>
        <w:t>ALCANCE</w:t>
      </w:r>
      <w:r w:rsidRPr="00762649">
        <w:rPr>
          <w:rFonts w:ascii="Palatino Linotype" w:hAnsi="Palatino Linotype"/>
          <w:i/>
          <w:sz w:val="20"/>
          <w:szCs w:val="20"/>
        </w:rPr>
        <w:t>:</w:t>
      </w:r>
    </w:p>
    <w:p w:rsidR="00762649" w:rsidRPr="00762649" w:rsidRDefault="00762649" w:rsidP="00762649">
      <w:pPr>
        <w:spacing w:before="80" w:after="80"/>
        <w:ind w:left="567" w:right="616"/>
        <w:jc w:val="both"/>
        <w:rPr>
          <w:rFonts w:ascii="Palatino Linotype" w:hAnsi="Palatino Linotype"/>
          <w:i/>
          <w:sz w:val="20"/>
          <w:szCs w:val="20"/>
        </w:rPr>
      </w:pPr>
      <w:r w:rsidRPr="00762649">
        <w:rPr>
          <w:rFonts w:ascii="Palatino Linotype" w:hAnsi="Palatino Linotype"/>
          <w:b/>
          <w:i/>
          <w:sz w:val="20"/>
          <w:szCs w:val="20"/>
          <w:u w:val="single"/>
        </w:rPr>
        <w:t>Aplica a todos los servidores públicos de la Administración Pública del Estado de México que se separan de sus empleos, cargos o comisiones</w:t>
      </w:r>
      <w:r w:rsidRPr="00762649">
        <w:rPr>
          <w:rFonts w:ascii="Palatino Linotype" w:hAnsi="Palatino Linotype"/>
          <w:i/>
          <w:sz w:val="20"/>
          <w:szCs w:val="20"/>
        </w:rPr>
        <w:t>, así como a aquellos que asuman bajo su responsabilidad las oficinas, empleos, cargos o comisiones, como son:</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 El Gobernador del Estado.</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 xml:space="preserve">- Los secretarios, subsecretarios, directores generales, directores de área, </w:t>
      </w:r>
      <w:r w:rsidRPr="00762649">
        <w:rPr>
          <w:rFonts w:ascii="Palatino Linotype" w:hAnsi="Palatino Linotype"/>
          <w:b/>
          <w:i/>
          <w:sz w:val="20"/>
          <w:szCs w:val="20"/>
          <w:u w:val="single"/>
        </w:rPr>
        <w:t>subdirectores</w:t>
      </w:r>
      <w:r w:rsidRPr="00762649">
        <w:rPr>
          <w:rFonts w:ascii="Palatino Linotype" w:hAnsi="Palatino Linotype"/>
          <w:i/>
          <w:sz w:val="20"/>
          <w:szCs w:val="20"/>
        </w:rPr>
        <w:t xml:space="preserve"> y jefes de departamento, así como sus equivalentes en los organismos auxiliares.</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 Los suplentes, encargados o servidores públicos con licencia en las dependencias, y en los organismos auxiliares.</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 Los servidores públicos de puestos distintos a los señalados anteriormente, que determinen los titulares de las dependencias u organismos auxiliares, mediante acuerdo publicado en la “Gaceta del Gobierno”, que sean responsables de fondos, valores, almacenes, bienes, documentos, funciones, actividades o asuntos que se consideren de importancia, cuya gestión en el encargo termine y deban entregar las oficinas que ocupan y/o asuntos encomendados, así como aquellos que los reciban.</w:t>
      </w:r>
    </w:p>
    <w:p w:rsidR="00762649" w:rsidRPr="00762649" w:rsidRDefault="00762649" w:rsidP="00762649">
      <w:pPr>
        <w:spacing w:before="160"/>
        <w:ind w:left="567" w:right="616"/>
        <w:jc w:val="both"/>
        <w:rPr>
          <w:rFonts w:ascii="Palatino Linotype" w:hAnsi="Palatino Linotype"/>
          <w:b/>
          <w:i/>
          <w:sz w:val="20"/>
          <w:szCs w:val="20"/>
        </w:rPr>
      </w:pPr>
      <w:r w:rsidRPr="00762649">
        <w:rPr>
          <w:rFonts w:ascii="Palatino Linotype" w:hAnsi="Palatino Linotype"/>
          <w:b/>
          <w:i/>
          <w:sz w:val="20"/>
          <w:szCs w:val="20"/>
        </w:rPr>
        <w:t>RESPONSABILIDADES:</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 xml:space="preserve">La </w:t>
      </w:r>
      <w:r w:rsidRPr="00762649">
        <w:rPr>
          <w:rFonts w:ascii="Palatino Linotype" w:hAnsi="Palatino Linotype"/>
          <w:b/>
          <w:i/>
          <w:sz w:val="20"/>
          <w:szCs w:val="20"/>
        </w:rPr>
        <w:t>Secretaría de la Contraloría</w:t>
      </w:r>
      <w:r w:rsidRPr="00762649">
        <w:rPr>
          <w:rFonts w:ascii="Palatino Linotype" w:hAnsi="Palatino Linotype"/>
          <w:i/>
          <w:sz w:val="20"/>
          <w:szCs w:val="20"/>
        </w:rPr>
        <w:t xml:space="preserve">, a través de la Subsecretaria de Control y Evaluación, sus Direcciones Generales de Control y Evaluación "A", "B", "C", y órganos de control interno, </w:t>
      </w:r>
      <w:r w:rsidRPr="00762649">
        <w:rPr>
          <w:rFonts w:ascii="Palatino Linotype" w:hAnsi="Palatino Linotype"/>
          <w:b/>
          <w:i/>
          <w:sz w:val="20"/>
          <w:szCs w:val="20"/>
          <w:u w:val="single"/>
        </w:rPr>
        <w:t>es la dependencia responsable de verificar los actos de entrega y recepción de las unidades administrativas</w:t>
      </w: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lang w:val="es-ES"/>
        </w:rPr>
      </w:pPr>
      <w:r w:rsidRPr="00762649">
        <w:rPr>
          <w:rFonts w:ascii="Palatino Linotype" w:hAnsi="Palatino Linotype"/>
          <w:b/>
          <w:i/>
          <w:sz w:val="20"/>
          <w:szCs w:val="20"/>
          <w:u w:val="single"/>
          <w:lang w:val="es-ES"/>
        </w:rPr>
        <w:t>El titular entrante deberá</w:t>
      </w:r>
      <w:r w:rsidRPr="00762649">
        <w:rPr>
          <w:rFonts w:ascii="Palatino Linotype" w:hAnsi="Palatino Linotype"/>
          <w:i/>
          <w:sz w:val="20"/>
          <w:szCs w:val="20"/>
          <w:lang w:val="es-ES"/>
        </w:rPr>
        <w:t>:</w:t>
      </w:r>
    </w:p>
    <w:p w:rsidR="00762649" w:rsidRPr="00762649" w:rsidRDefault="00762649" w:rsidP="00762649">
      <w:pPr>
        <w:spacing w:before="160"/>
        <w:ind w:left="567" w:right="616"/>
        <w:jc w:val="both"/>
        <w:rPr>
          <w:rFonts w:ascii="Palatino Linotype" w:hAnsi="Palatino Linotype"/>
          <w:i/>
          <w:sz w:val="20"/>
          <w:szCs w:val="20"/>
          <w:lang w:val="es-ES"/>
        </w:rPr>
      </w:pPr>
      <w:r w:rsidRPr="00762649">
        <w:rPr>
          <w:rFonts w:ascii="Palatino Linotype" w:hAnsi="Palatino Linotype"/>
          <w:i/>
          <w:sz w:val="20"/>
          <w:szCs w:val="20"/>
          <w:lang w:val="es-ES"/>
        </w:rPr>
        <w:t>[…]</w:t>
      </w:r>
    </w:p>
    <w:p w:rsidR="00762649" w:rsidRPr="00762649" w:rsidRDefault="00762649" w:rsidP="00762649">
      <w:pPr>
        <w:spacing w:before="160"/>
        <w:ind w:left="567" w:right="616"/>
        <w:jc w:val="both"/>
        <w:rPr>
          <w:rFonts w:ascii="Palatino Linotype" w:hAnsi="Palatino Linotype"/>
          <w:i/>
          <w:sz w:val="20"/>
          <w:szCs w:val="20"/>
          <w:lang w:val="es-ES"/>
        </w:rPr>
      </w:pPr>
      <w:r w:rsidRPr="00762649">
        <w:rPr>
          <w:rFonts w:ascii="Palatino Linotype" w:hAnsi="Palatino Linotype"/>
          <w:i/>
          <w:sz w:val="20"/>
          <w:szCs w:val="20"/>
          <w:lang w:val="es-ES"/>
        </w:rPr>
        <w:lastRenderedPageBreak/>
        <w:t xml:space="preserve">- Firmar el acta de entrega y recepción y </w:t>
      </w:r>
      <w:r w:rsidRPr="00762649">
        <w:rPr>
          <w:rFonts w:ascii="Palatino Linotype" w:hAnsi="Palatino Linotype"/>
          <w:b/>
          <w:i/>
          <w:sz w:val="20"/>
          <w:szCs w:val="20"/>
          <w:u w:val="single"/>
          <w:lang w:val="es-ES"/>
        </w:rPr>
        <w:t>entregar copias</w:t>
      </w:r>
      <w:r w:rsidRPr="00762649">
        <w:rPr>
          <w:rFonts w:ascii="Palatino Linotype" w:hAnsi="Palatino Linotype"/>
          <w:i/>
          <w:sz w:val="20"/>
          <w:szCs w:val="20"/>
          <w:lang w:val="es-ES"/>
        </w:rPr>
        <w:t xml:space="preserve"> al titular saliente y </w:t>
      </w:r>
      <w:r w:rsidRPr="00762649">
        <w:rPr>
          <w:rFonts w:ascii="Palatino Linotype" w:hAnsi="Palatino Linotype"/>
          <w:b/>
          <w:i/>
          <w:sz w:val="20"/>
          <w:szCs w:val="20"/>
          <w:u w:val="single"/>
          <w:lang w:val="es-ES"/>
        </w:rPr>
        <w:t>a la Contraloría u órgano de control interno</w:t>
      </w:r>
      <w:r w:rsidRPr="00762649">
        <w:rPr>
          <w:rFonts w:ascii="Palatino Linotype" w:hAnsi="Palatino Linotype"/>
          <w:i/>
          <w:sz w:val="20"/>
          <w:szCs w:val="20"/>
          <w:lang w:val="es-ES"/>
        </w:rPr>
        <w:t>.</w:t>
      </w:r>
    </w:p>
    <w:p w:rsidR="00762649" w:rsidRPr="00762649" w:rsidRDefault="00762649" w:rsidP="00762649">
      <w:pPr>
        <w:spacing w:before="160"/>
        <w:ind w:left="567" w:right="616"/>
        <w:jc w:val="both"/>
        <w:rPr>
          <w:rFonts w:ascii="Palatino Linotype" w:hAnsi="Palatino Linotype" w:cs="Arial"/>
          <w:i/>
          <w:sz w:val="20"/>
          <w:szCs w:val="20"/>
        </w:rPr>
      </w:pPr>
      <w:r w:rsidRPr="00762649">
        <w:rPr>
          <w:rFonts w:ascii="Palatino Linotype" w:hAnsi="Palatino Linotype" w:cs="Arial"/>
          <w:i/>
          <w:sz w:val="20"/>
          <w:szCs w:val="20"/>
        </w:rPr>
        <w:t>(Énfasis añadido)</w:t>
      </w:r>
    </w:p>
    <w:p w:rsidR="00762649" w:rsidRPr="00762649" w:rsidRDefault="00762649" w:rsidP="00762649">
      <w:pPr>
        <w:pStyle w:val="Prrafodelista"/>
        <w:widowControl w:val="0"/>
        <w:autoSpaceDE w:val="0"/>
        <w:autoSpaceDN w:val="0"/>
        <w:adjustRightInd w:val="0"/>
        <w:spacing w:before="240" w:after="240" w:line="360" w:lineRule="auto"/>
        <w:ind w:left="567" w:right="616"/>
        <w:jc w:val="both"/>
        <w:rPr>
          <w:rFonts w:ascii="Palatino Linotype" w:eastAsia="Calibri" w:hAnsi="Palatino Linotype" w:cs="Arial"/>
          <w:i/>
          <w:sz w:val="20"/>
          <w:szCs w:val="20"/>
        </w:rPr>
      </w:pPr>
      <w:r w:rsidRPr="00762649">
        <w:rPr>
          <w:rFonts w:ascii="Palatino Linotype" w:eastAsia="Calibri" w:hAnsi="Palatino Linotype" w:cs="Arial"/>
          <w:i/>
          <w:sz w:val="20"/>
          <w:szCs w:val="20"/>
        </w:rPr>
        <w:t xml:space="preserve">Así, de la interpretación armónica y sistemática de los preceptos en cita, se advierte que las Actas de Entrega y Recepción celebradas por los servidores públicos de la Administración Pública del Estado de México que se separan de sus empleos, cargos o comisiones, como es el caso de la </w:t>
      </w:r>
      <w:proofErr w:type="spellStart"/>
      <w:r w:rsidRPr="00762649">
        <w:rPr>
          <w:rFonts w:ascii="Palatino Linotype" w:eastAsia="Calibri" w:hAnsi="Palatino Linotype" w:cs="Arial"/>
          <w:i/>
          <w:sz w:val="20"/>
          <w:szCs w:val="20"/>
        </w:rPr>
        <w:t>Subcontraloría</w:t>
      </w:r>
      <w:proofErr w:type="spellEnd"/>
      <w:r w:rsidRPr="00762649">
        <w:rPr>
          <w:rFonts w:ascii="Palatino Linotype" w:eastAsia="Calibri" w:hAnsi="Palatino Linotype" w:cs="Arial"/>
          <w:i/>
          <w:sz w:val="20"/>
          <w:szCs w:val="20"/>
        </w:rPr>
        <w:t xml:space="preserve"> Interna de Agua y Obra Pública, de la Contraloría Interna de la otrora Secretaría de Infraestructura, debe constar en los archivos de la Secretaría de la Contraloría del Gobierno del Estado de México.</w:t>
      </w:r>
    </w:p>
    <w:p w:rsidR="00762649" w:rsidRPr="00762649" w:rsidRDefault="00762649" w:rsidP="00762649">
      <w:pPr>
        <w:pStyle w:val="Prrafodelista"/>
        <w:widowControl w:val="0"/>
        <w:autoSpaceDE w:val="0"/>
        <w:autoSpaceDN w:val="0"/>
        <w:adjustRightInd w:val="0"/>
        <w:spacing w:before="240" w:after="240" w:line="360" w:lineRule="auto"/>
        <w:ind w:left="567" w:right="616"/>
        <w:jc w:val="both"/>
        <w:rPr>
          <w:rFonts w:ascii="Palatino Linotype" w:hAnsi="Palatino Linotype" w:cs="Arial"/>
          <w:i/>
          <w:sz w:val="20"/>
          <w:szCs w:val="20"/>
        </w:rPr>
      </w:pPr>
      <w:r w:rsidRPr="00762649">
        <w:rPr>
          <w:rFonts w:ascii="Palatino Linotype" w:eastAsia="Calibri" w:hAnsi="Palatino Linotype" w:cs="Arial"/>
          <w:i/>
          <w:sz w:val="20"/>
          <w:szCs w:val="20"/>
        </w:rPr>
        <w:t xml:space="preserve">Ahora bien, por lo que hace </w:t>
      </w:r>
      <w:r w:rsidRPr="00762649">
        <w:rPr>
          <w:rFonts w:ascii="Palatino Linotype" w:hAnsi="Palatino Linotype"/>
          <w:i/>
          <w:sz w:val="20"/>
          <w:szCs w:val="20"/>
          <w:lang w:eastAsia="es-ES_tradnl"/>
        </w:rPr>
        <w:t xml:space="preserve">a la información del </w:t>
      </w:r>
      <w:r w:rsidRPr="00762649">
        <w:rPr>
          <w:rFonts w:ascii="Palatino Linotype" w:hAnsi="Palatino Linotype"/>
          <w:b/>
          <w:i/>
          <w:sz w:val="20"/>
          <w:szCs w:val="20"/>
          <w:lang w:eastAsia="es-ES_tradnl"/>
        </w:rPr>
        <w:t>numeral 4</w:t>
      </w:r>
      <w:r w:rsidRPr="00762649">
        <w:rPr>
          <w:rFonts w:ascii="Palatino Linotype" w:hAnsi="Palatino Linotype"/>
          <w:i/>
          <w:sz w:val="20"/>
          <w:szCs w:val="20"/>
          <w:lang w:eastAsia="es-ES_tradnl"/>
        </w:rPr>
        <w:t xml:space="preserve"> referente a los </w:t>
      </w:r>
      <w:r w:rsidRPr="00762649">
        <w:rPr>
          <w:rFonts w:ascii="Palatino Linotype" w:eastAsia="Calibri" w:hAnsi="Palatino Linotype" w:cs="Arial"/>
          <w:i/>
          <w:sz w:val="20"/>
          <w:szCs w:val="20"/>
        </w:rPr>
        <w:t>resultados de todas las denuncias, auditorias, asuntos que recibió como Contralor Interno de la Secretaría de Obra Pública, de la Auditoria Superior de la Federación, del Órgano Superior de Fiscalización del Estado de México, la Procuraduría General de la República y la Fiscalía General de Justicia del Estado de México, por número consecutivo y fecha cada expediente, debe observarse lo señalado en el Transitorio Cuarto del Decreto Número 244, publicado en el Periódico</w:t>
      </w:r>
      <w:r w:rsidRPr="00762649">
        <w:rPr>
          <w:rFonts w:ascii="Palatino Linotype" w:hAnsi="Palatino Linotype"/>
          <w:i/>
          <w:sz w:val="20"/>
          <w:szCs w:val="20"/>
        </w:rPr>
        <w:t xml:space="preserve"> oficial “Gaceta del Gobierno” el día 13 de septiembre de 2017:</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w:t>
      </w:r>
      <w:r w:rsidRPr="00762649">
        <w:rPr>
          <w:rFonts w:ascii="Palatino Linotype" w:hAnsi="Palatino Linotype"/>
          <w:b/>
          <w:i/>
          <w:sz w:val="20"/>
          <w:szCs w:val="20"/>
        </w:rPr>
        <w:t xml:space="preserve">CUARTO. </w:t>
      </w:r>
      <w:r w:rsidRPr="00762649">
        <w:rPr>
          <w:rFonts w:ascii="Palatino Linotype" w:hAnsi="Palatino Linotype"/>
          <w:b/>
          <w:i/>
          <w:sz w:val="20"/>
          <w:szCs w:val="20"/>
          <w:u w:val="single"/>
        </w:rPr>
        <w:t>Las atribuciones que se otorgan a la Secretaría de Comunicaciones y a la Secretaría de Obra Pública en el presente Decreto, en tanto se expidan los reglamentos interiores y demás instrumentos jurídicos administrativos necesarios para su funcionamiento, serán ejercidas por conducto de las estructuras orgánicas de la Secretaría de Infraestructura en función de sus competencias vigentes</w:t>
      </w:r>
      <w:r w:rsidRPr="00762649">
        <w:rPr>
          <w:rFonts w:ascii="Palatino Linotype" w:hAnsi="Palatino Linotype"/>
          <w:i/>
          <w:sz w:val="20"/>
          <w:szCs w:val="20"/>
        </w:rPr>
        <w:t xml:space="preserve"> en términos de su Reglamento Interior y Manual de Organización.</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b/>
          <w:i/>
          <w:sz w:val="20"/>
          <w:szCs w:val="20"/>
          <w:u w:val="single"/>
        </w:rPr>
        <w:t>Los recursos humanos, materiales y financieros de la Secretaría de Infraestructura serán transferidos a las Secretaría de Comunicaciones y a la Secretaría de Obra Pública respectivamente, en función de lo previsto en el presente Decreto</w:t>
      </w:r>
      <w:r w:rsidRPr="00762649">
        <w:rPr>
          <w:rFonts w:ascii="Palatino Linotype" w:hAnsi="Palatino Linotype"/>
          <w:i/>
          <w:sz w:val="20"/>
          <w:szCs w:val="20"/>
        </w:rPr>
        <w:t xml:space="preserve">. </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Cuando en otros ordenamientos legales, administrativos, documentación y papelería se haga referencia a la Secretaría de Infraestructura, se entenderá que se refieren a la Secretaría de Comunicaciones o a la Secretaría de Obra Pública en función de las atribuciones que se establecen en el presente Decreto.</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b/>
          <w:i/>
          <w:sz w:val="20"/>
          <w:szCs w:val="20"/>
          <w:u w:val="single"/>
        </w:rPr>
        <w:lastRenderedPageBreak/>
        <w:t>Los asuntos que se encuentren en trámite a la entrada en vigor del presente Decreto y sean competencia de la Secretaría de Comunicaciones y la Secretaría de Obra Pública, conforme al mismo, continuarán su despacho por dichas dependencias</w:t>
      </w:r>
      <w:r w:rsidRPr="00762649">
        <w:rPr>
          <w:rFonts w:ascii="Palatino Linotype" w:hAnsi="Palatino Linotype"/>
          <w:i/>
          <w:sz w:val="20"/>
          <w:szCs w:val="20"/>
        </w:rPr>
        <w:t xml:space="preserve">, respectivamente, conforme a las disposiciones jurídicas aplicables. </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Los derechos laborales adquiridos por los servidores públicos adscritos a la Secretaría de Infraestructura al pasar a formar parte de la Secretaría de Comunicaciones y de la Secretaría de Obra Pública, respectivamente, permanecerán en las mismas condiciones.”</w:t>
      </w:r>
    </w:p>
    <w:p w:rsidR="00762649" w:rsidRPr="00762649" w:rsidRDefault="00762649" w:rsidP="00762649">
      <w:pPr>
        <w:spacing w:before="120" w:after="120"/>
        <w:ind w:left="567" w:right="616"/>
        <w:jc w:val="both"/>
        <w:rPr>
          <w:rFonts w:ascii="Palatino Linotype" w:hAnsi="Palatino Linotype" w:cs="Arial"/>
          <w:i/>
          <w:sz w:val="20"/>
          <w:szCs w:val="20"/>
        </w:rPr>
      </w:pPr>
      <w:r w:rsidRPr="00762649">
        <w:rPr>
          <w:rFonts w:ascii="Palatino Linotype" w:hAnsi="Palatino Linotype" w:cs="Arial"/>
          <w:i/>
          <w:sz w:val="20"/>
          <w:szCs w:val="20"/>
        </w:rPr>
        <w:t>(Énfasis añadido)</w:t>
      </w:r>
    </w:p>
    <w:p w:rsidR="00762649" w:rsidRPr="00762649" w:rsidRDefault="00762649" w:rsidP="00762649">
      <w:pPr>
        <w:pStyle w:val="Prrafodelista"/>
        <w:widowControl w:val="0"/>
        <w:autoSpaceDE w:val="0"/>
        <w:autoSpaceDN w:val="0"/>
        <w:adjustRightInd w:val="0"/>
        <w:spacing w:before="240" w:after="240" w:line="360" w:lineRule="auto"/>
        <w:ind w:left="567" w:right="616"/>
        <w:jc w:val="both"/>
        <w:rPr>
          <w:rFonts w:ascii="Palatino Linotype" w:hAnsi="Palatino Linotype" w:cs="Arial"/>
          <w:i/>
          <w:sz w:val="20"/>
          <w:szCs w:val="20"/>
        </w:rPr>
      </w:pPr>
      <w:r w:rsidRPr="00762649">
        <w:rPr>
          <w:rFonts w:ascii="Palatino Linotype" w:hAnsi="Palatino Linotype" w:cs="Arial"/>
          <w:i/>
          <w:sz w:val="20"/>
          <w:szCs w:val="20"/>
        </w:rPr>
        <w:t>En ese contexto, toda vez que, a la fecha en que es resuelto el presente recurso de revisión, sólo ha sido expedido el Reglamento Interior de la Secretaría de Comunicaciones, pero no así el correspondiente a la Secretaría de Obra Pública, ni sus correspondientes Manuales Generales de Organización, en aplicación del Artículo Cuarto Transitorio, previamente citado, debe considerarse las facultades, atribuciones, funciones o competencias establecidas en el Reglamento Interior de la Secretaría de Infraestructura, así como de su Manual de General de Organización, las cuales resultarían aplicables al Contralor Interno de la Secretaría de Obra Pública, mismas que se insertan a continuación:</w:t>
      </w:r>
    </w:p>
    <w:p w:rsidR="00762649" w:rsidRPr="00762649" w:rsidRDefault="00762649" w:rsidP="00762649">
      <w:pPr>
        <w:spacing w:before="160"/>
        <w:ind w:left="567" w:right="616"/>
        <w:jc w:val="center"/>
        <w:rPr>
          <w:rFonts w:ascii="Palatino Linotype" w:hAnsi="Palatino Linotype"/>
          <w:b/>
          <w:i/>
          <w:sz w:val="20"/>
          <w:szCs w:val="20"/>
        </w:rPr>
      </w:pPr>
      <w:r w:rsidRPr="00762649">
        <w:rPr>
          <w:rFonts w:ascii="Palatino Linotype" w:hAnsi="Palatino Linotype"/>
          <w:b/>
          <w:i/>
          <w:sz w:val="20"/>
          <w:szCs w:val="20"/>
        </w:rPr>
        <w:t>REGLAMENTO INTERIOR DE LA SECRETARÍA DE INFRAESTRUCTURA</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r w:rsidRPr="00762649">
        <w:rPr>
          <w:rFonts w:ascii="Palatino Linotype" w:hAnsi="Palatino Linotype"/>
          <w:b/>
          <w:i/>
          <w:sz w:val="20"/>
          <w:szCs w:val="20"/>
        </w:rPr>
        <w:t>Artículo 3</w:t>
      </w:r>
      <w:r w:rsidRPr="00762649">
        <w:rPr>
          <w:rFonts w:ascii="Palatino Linotype" w:hAnsi="Palatino Linotype"/>
          <w:i/>
          <w:sz w:val="20"/>
          <w:szCs w:val="20"/>
        </w:rPr>
        <w:t xml:space="preserve">. </w:t>
      </w:r>
      <w:r w:rsidRPr="00762649">
        <w:rPr>
          <w:rFonts w:ascii="Palatino Linotype" w:hAnsi="Palatino Linotype"/>
          <w:b/>
          <w:i/>
          <w:sz w:val="20"/>
          <w:szCs w:val="20"/>
          <w:u w:val="single"/>
        </w:rPr>
        <w:t>Para el estudio, planeación y despacho de los asuntos de su competencia</w:t>
      </w:r>
      <w:r w:rsidRPr="00762649">
        <w:rPr>
          <w:rFonts w:ascii="Palatino Linotype" w:hAnsi="Palatino Linotype"/>
          <w:i/>
          <w:sz w:val="20"/>
          <w:szCs w:val="20"/>
        </w:rPr>
        <w:t xml:space="preserve">, así como para atender las funciones de control y evaluación que le corresponden, la Secretaría contará con un Secretario quien para el desahogo de los asuntos de su competencia, </w:t>
      </w:r>
      <w:r w:rsidRPr="00762649">
        <w:rPr>
          <w:rFonts w:ascii="Palatino Linotype" w:hAnsi="Palatino Linotype"/>
          <w:b/>
          <w:i/>
          <w:sz w:val="20"/>
          <w:szCs w:val="20"/>
          <w:u w:val="single"/>
        </w:rPr>
        <w:t>se auxiliará de las unidades administrativas básicas siguientes</w:t>
      </w: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rPr>
        <w:t xml:space="preserve">X. </w:t>
      </w:r>
      <w:r w:rsidRPr="00762649">
        <w:rPr>
          <w:rFonts w:ascii="Palatino Linotype" w:hAnsi="Palatino Linotype"/>
          <w:b/>
          <w:i/>
          <w:sz w:val="20"/>
          <w:szCs w:val="20"/>
          <w:u w:val="single"/>
        </w:rPr>
        <w:t>Contraloría Interna</w:t>
      </w: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rPr>
        <w:t xml:space="preserve">Artículo 20. </w:t>
      </w:r>
      <w:r w:rsidRPr="00762649">
        <w:rPr>
          <w:rFonts w:ascii="Palatino Linotype" w:hAnsi="Palatino Linotype"/>
          <w:b/>
          <w:i/>
          <w:sz w:val="20"/>
          <w:szCs w:val="20"/>
          <w:u w:val="single"/>
        </w:rPr>
        <w:t>Corresponde a la Contraloría Interna</w:t>
      </w: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rPr>
        <w:t xml:space="preserve">II. </w:t>
      </w:r>
      <w:r w:rsidRPr="00762649">
        <w:rPr>
          <w:rFonts w:ascii="Palatino Linotype" w:hAnsi="Palatino Linotype"/>
          <w:b/>
          <w:i/>
          <w:sz w:val="20"/>
          <w:szCs w:val="20"/>
          <w:u w:val="single"/>
        </w:rPr>
        <w:t>Realizar supervisiones, revisiones, auditorías y evaluaciones administrativas, financieras, contables, operacionales, técnicas y jurídicas a las unidades administrativas de la Secretaría</w:t>
      </w:r>
      <w:r w:rsidRPr="00762649">
        <w:rPr>
          <w:rFonts w:ascii="Palatino Linotype" w:hAnsi="Palatino Linotype"/>
          <w:i/>
          <w:sz w:val="20"/>
          <w:szCs w:val="20"/>
        </w:rPr>
        <w:t xml:space="preserve">, tendientes a verificar su desempeño institucional y el </w:t>
      </w:r>
      <w:r w:rsidRPr="00762649">
        <w:rPr>
          <w:rFonts w:ascii="Palatino Linotype" w:hAnsi="Palatino Linotype"/>
          <w:i/>
          <w:sz w:val="20"/>
          <w:szCs w:val="20"/>
        </w:rPr>
        <w:lastRenderedPageBreak/>
        <w:t>cumplimiento de las normas y disposiciones que regulan la prestación del servicio encomendado, así como las relacionadas con los sistemas de registro, contabilidad, contratación y pago de personal, contratación y ejecución de servicios, obra pública, concesiones, dictámenes de incorporación e impacto vial, adquisiciones, arrendamiento, conservación, uso, destino, afectación, enajenación y baja de bienes y demás activos asignados a la dependencia.</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rPr>
        <w:t xml:space="preserve">IV. </w:t>
      </w:r>
      <w:r w:rsidRPr="00762649">
        <w:rPr>
          <w:rFonts w:ascii="Palatino Linotype" w:hAnsi="Palatino Linotype"/>
          <w:b/>
          <w:i/>
          <w:sz w:val="20"/>
          <w:szCs w:val="20"/>
          <w:u w:val="single"/>
        </w:rPr>
        <w:t>Dar vista al Ministerio Público cuando en el trámite de un expediente administrativo disciplinario o de queja, advierta que existen hechos o elementos que impliquen la probable responsabilidad penal</w:t>
      </w:r>
      <w:r w:rsidRPr="00762649">
        <w:rPr>
          <w:rFonts w:ascii="Palatino Linotype" w:hAnsi="Palatino Linotype"/>
          <w:i/>
          <w:sz w:val="20"/>
          <w:szCs w:val="20"/>
        </w:rPr>
        <w:t xml:space="preserve"> de los servidores públicos de la Secretaría.</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rPr>
        <w:t xml:space="preserve">VI. </w:t>
      </w:r>
      <w:r w:rsidRPr="00762649">
        <w:rPr>
          <w:rFonts w:ascii="Palatino Linotype" w:hAnsi="Palatino Linotype"/>
          <w:b/>
          <w:i/>
          <w:sz w:val="20"/>
          <w:szCs w:val="20"/>
          <w:u w:val="single"/>
        </w:rPr>
        <w:t>Recibir, tramitar y dar seguimiento a las quejas y denuncias por probable responsabilidad administrativa que se interpongan en contra de los servidores públicos de la Secretaría</w:t>
      </w:r>
      <w:r w:rsidRPr="00762649">
        <w:rPr>
          <w:rFonts w:ascii="Palatino Linotype" w:hAnsi="Palatino Linotype"/>
          <w:i/>
          <w:sz w:val="20"/>
          <w:szCs w:val="20"/>
        </w:rPr>
        <w:t>.”</w:t>
      </w:r>
    </w:p>
    <w:p w:rsidR="00762649" w:rsidRPr="00762649" w:rsidRDefault="00762649" w:rsidP="00762649">
      <w:pPr>
        <w:spacing w:before="360"/>
        <w:ind w:left="567" w:right="616"/>
        <w:jc w:val="center"/>
        <w:rPr>
          <w:rFonts w:ascii="Palatino Linotype" w:hAnsi="Palatino Linotype"/>
          <w:b/>
          <w:i/>
          <w:sz w:val="20"/>
          <w:szCs w:val="20"/>
        </w:rPr>
      </w:pPr>
      <w:r w:rsidRPr="00762649">
        <w:rPr>
          <w:rFonts w:ascii="Palatino Linotype" w:hAnsi="Palatino Linotype"/>
          <w:b/>
          <w:i/>
          <w:sz w:val="20"/>
          <w:szCs w:val="20"/>
        </w:rPr>
        <w:t>Manual General de Organización de la Secretaría de Infraestructura</w:t>
      </w:r>
    </w:p>
    <w:p w:rsidR="00762649" w:rsidRPr="00762649" w:rsidRDefault="00762649" w:rsidP="00762649">
      <w:pPr>
        <w:spacing w:before="140" w:after="140"/>
        <w:ind w:left="567" w:right="616"/>
        <w:jc w:val="both"/>
        <w:rPr>
          <w:rFonts w:ascii="Palatino Linotype" w:hAnsi="Palatino Linotype"/>
          <w:b/>
          <w:i/>
          <w:sz w:val="20"/>
          <w:szCs w:val="20"/>
        </w:rPr>
      </w:pPr>
      <w:r w:rsidRPr="00762649">
        <w:rPr>
          <w:rFonts w:ascii="Palatino Linotype" w:hAnsi="Palatino Linotype"/>
          <w:b/>
          <w:i/>
          <w:sz w:val="20"/>
          <w:szCs w:val="20"/>
        </w:rPr>
        <w:t xml:space="preserve">229040000 CONTRALORÍA INTERNA </w:t>
      </w:r>
    </w:p>
    <w:p w:rsidR="00762649" w:rsidRPr="00762649" w:rsidRDefault="00762649" w:rsidP="00762649">
      <w:pPr>
        <w:spacing w:before="140" w:after="140"/>
        <w:ind w:left="567" w:right="616"/>
        <w:jc w:val="both"/>
        <w:rPr>
          <w:rFonts w:ascii="Palatino Linotype" w:hAnsi="Palatino Linotype"/>
          <w:b/>
          <w:i/>
          <w:sz w:val="20"/>
          <w:szCs w:val="20"/>
        </w:rPr>
      </w:pPr>
      <w:r w:rsidRPr="00762649">
        <w:rPr>
          <w:rFonts w:ascii="Palatino Linotype" w:hAnsi="Palatino Linotype"/>
          <w:b/>
          <w:i/>
          <w:sz w:val="20"/>
          <w:szCs w:val="20"/>
        </w:rPr>
        <w:t xml:space="preserve">OBJETIVO: </w:t>
      </w:r>
    </w:p>
    <w:p w:rsidR="00762649" w:rsidRPr="00762649" w:rsidRDefault="00762649" w:rsidP="00762649">
      <w:pPr>
        <w:spacing w:before="140" w:after="140"/>
        <w:ind w:left="567" w:right="616"/>
        <w:jc w:val="both"/>
        <w:rPr>
          <w:rFonts w:ascii="Palatino Linotype" w:hAnsi="Palatino Linotype"/>
          <w:i/>
          <w:sz w:val="20"/>
          <w:szCs w:val="20"/>
        </w:rPr>
      </w:pPr>
      <w:r w:rsidRPr="00762649">
        <w:rPr>
          <w:rFonts w:ascii="Palatino Linotype" w:hAnsi="Palatino Linotype"/>
          <w:i/>
          <w:sz w:val="20"/>
          <w:szCs w:val="20"/>
        </w:rPr>
        <w:t xml:space="preserve">Programar y </w:t>
      </w:r>
      <w:r w:rsidRPr="00762649">
        <w:rPr>
          <w:rFonts w:ascii="Palatino Linotype" w:hAnsi="Palatino Linotype"/>
          <w:b/>
          <w:i/>
          <w:sz w:val="20"/>
          <w:szCs w:val="20"/>
          <w:u w:val="single"/>
        </w:rPr>
        <w:t>ejecutar revisiones periódicas para conocer la eficiencia y eficacia de los sistemas y procesos de trabajo, del ejercicio del presupuesto y del uso racional de los recursos de la Secretaría</w:t>
      </w:r>
      <w:r w:rsidRPr="00762649">
        <w:rPr>
          <w:rFonts w:ascii="Palatino Linotype" w:hAnsi="Palatino Linotype"/>
          <w:i/>
          <w:sz w:val="20"/>
          <w:szCs w:val="20"/>
        </w:rPr>
        <w:t xml:space="preserve">, de conformidad con la normatividad vigente, así como emitir los dictámenes correspondientes para, en su caso, </w:t>
      </w:r>
      <w:r w:rsidRPr="00762649">
        <w:rPr>
          <w:rFonts w:ascii="Palatino Linotype" w:hAnsi="Palatino Linotype"/>
          <w:b/>
          <w:i/>
          <w:sz w:val="20"/>
          <w:szCs w:val="20"/>
          <w:u w:val="single"/>
        </w:rPr>
        <w:t>aplicar las medidas preventivas y correctivas que se consideren convenientes</w:t>
      </w:r>
      <w:r w:rsidRPr="00762649">
        <w:rPr>
          <w:rFonts w:ascii="Palatino Linotype" w:hAnsi="Palatino Linotype"/>
          <w:i/>
          <w:sz w:val="20"/>
          <w:szCs w:val="20"/>
        </w:rPr>
        <w:t xml:space="preserve">. </w:t>
      </w:r>
    </w:p>
    <w:p w:rsidR="00762649" w:rsidRPr="00762649" w:rsidRDefault="00762649" w:rsidP="00762649">
      <w:pPr>
        <w:spacing w:before="140" w:after="140"/>
        <w:ind w:left="567" w:right="616"/>
        <w:jc w:val="both"/>
        <w:rPr>
          <w:rFonts w:ascii="Palatino Linotype" w:hAnsi="Palatino Linotype"/>
          <w:i/>
          <w:sz w:val="20"/>
          <w:szCs w:val="20"/>
        </w:rPr>
      </w:pPr>
      <w:r w:rsidRPr="00762649">
        <w:rPr>
          <w:rFonts w:ascii="Palatino Linotype" w:hAnsi="Palatino Linotype"/>
          <w:b/>
          <w:i/>
          <w:sz w:val="20"/>
          <w:szCs w:val="20"/>
        </w:rPr>
        <w:t>FUNCIONES</w:t>
      </w:r>
      <w:r w:rsidRPr="00762649">
        <w:rPr>
          <w:rFonts w:ascii="Palatino Linotype" w:hAnsi="Palatino Linotype"/>
          <w:i/>
          <w:sz w:val="20"/>
          <w:szCs w:val="20"/>
        </w:rPr>
        <w:t xml:space="preserve">: </w:t>
      </w:r>
    </w:p>
    <w:p w:rsidR="00762649" w:rsidRPr="00762649" w:rsidRDefault="00762649" w:rsidP="00762649">
      <w:pPr>
        <w:spacing w:before="140" w:after="14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pStyle w:val="Prrafodelista"/>
        <w:numPr>
          <w:ilvl w:val="0"/>
          <w:numId w:val="43"/>
        </w:numPr>
        <w:spacing w:before="140" w:after="140" w:line="240" w:lineRule="auto"/>
        <w:ind w:left="567" w:right="616" w:firstLine="0"/>
        <w:contextualSpacing w:val="0"/>
        <w:jc w:val="both"/>
        <w:rPr>
          <w:rFonts w:ascii="Palatino Linotype" w:hAnsi="Palatino Linotype"/>
          <w:i/>
          <w:sz w:val="20"/>
          <w:szCs w:val="20"/>
        </w:rPr>
      </w:pPr>
      <w:r w:rsidRPr="00762649">
        <w:rPr>
          <w:rFonts w:ascii="Palatino Linotype" w:hAnsi="Palatino Linotype"/>
          <w:b/>
          <w:i/>
          <w:sz w:val="20"/>
          <w:szCs w:val="20"/>
          <w:u w:val="single"/>
        </w:rPr>
        <w:t>Realizar auditorías</w:t>
      </w:r>
      <w:r w:rsidRPr="00762649">
        <w:rPr>
          <w:rFonts w:ascii="Palatino Linotype" w:hAnsi="Palatino Linotype"/>
          <w:i/>
          <w:sz w:val="20"/>
          <w:szCs w:val="20"/>
        </w:rPr>
        <w:t xml:space="preserve"> y evaluaciones </w:t>
      </w:r>
      <w:r w:rsidRPr="00762649">
        <w:rPr>
          <w:rFonts w:ascii="Palatino Linotype" w:hAnsi="Palatino Linotype"/>
          <w:b/>
          <w:i/>
          <w:sz w:val="20"/>
          <w:szCs w:val="20"/>
          <w:u w:val="single"/>
        </w:rPr>
        <w:t>a la Secretaría</w:t>
      </w:r>
      <w:r w:rsidRPr="00762649">
        <w:rPr>
          <w:rFonts w:ascii="Palatino Linotype" w:hAnsi="Palatino Linotype"/>
          <w:i/>
          <w:sz w:val="20"/>
          <w:szCs w:val="20"/>
        </w:rPr>
        <w:t xml:space="preserve">, con el fin de promover la eficacia y transparencia en sus operaciones y verificar, de acuerdo con su competencia, el cumplimiento de los objetivos contenidos en sus programas. </w:t>
      </w:r>
    </w:p>
    <w:p w:rsidR="00762649" w:rsidRPr="00762649" w:rsidRDefault="00762649" w:rsidP="00762649">
      <w:pPr>
        <w:spacing w:before="140" w:after="14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pStyle w:val="Prrafodelista"/>
        <w:numPr>
          <w:ilvl w:val="0"/>
          <w:numId w:val="43"/>
        </w:numPr>
        <w:spacing w:before="140" w:after="140" w:line="240" w:lineRule="auto"/>
        <w:ind w:left="567" w:right="616" w:firstLine="0"/>
        <w:contextualSpacing w:val="0"/>
        <w:jc w:val="both"/>
        <w:rPr>
          <w:rFonts w:ascii="Palatino Linotype" w:hAnsi="Palatino Linotype"/>
          <w:i/>
          <w:sz w:val="20"/>
          <w:szCs w:val="20"/>
        </w:rPr>
      </w:pPr>
      <w:r w:rsidRPr="00762649">
        <w:rPr>
          <w:rFonts w:ascii="Palatino Linotype" w:hAnsi="Palatino Linotype"/>
          <w:b/>
          <w:i/>
          <w:sz w:val="20"/>
          <w:szCs w:val="20"/>
          <w:u w:val="single"/>
        </w:rPr>
        <w:t>Participar en los actos de entrega-recepción de las unidades administrativas adscritas a la Secretaría</w:t>
      </w:r>
      <w:r w:rsidRPr="00762649">
        <w:rPr>
          <w:rFonts w:ascii="Palatino Linotype" w:hAnsi="Palatino Linotype"/>
          <w:i/>
          <w:sz w:val="20"/>
          <w:szCs w:val="20"/>
        </w:rPr>
        <w:t>, verificando su apego a la normatividad establecida.</w:t>
      </w:r>
    </w:p>
    <w:p w:rsidR="00762649" w:rsidRPr="00762649" w:rsidRDefault="00762649" w:rsidP="00762649">
      <w:pPr>
        <w:spacing w:before="140" w:after="140"/>
        <w:ind w:left="567" w:right="616"/>
        <w:jc w:val="both"/>
        <w:rPr>
          <w:rFonts w:ascii="Palatino Linotype" w:hAnsi="Palatino Linotype"/>
          <w:i/>
          <w:sz w:val="20"/>
          <w:szCs w:val="20"/>
        </w:rPr>
      </w:pPr>
      <w:r w:rsidRPr="00762649">
        <w:rPr>
          <w:rFonts w:ascii="Palatino Linotype" w:hAnsi="Palatino Linotype"/>
          <w:i/>
          <w:sz w:val="20"/>
          <w:szCs w:val="20"/>
        </w:rPr>
        <w:lastRenderedPageBreak/>
        <w:t>[…]</w:t>
      </w:r>
    </w:p>
    <w:p w:rsidR="00762649" w:rsidRPr="00762649" w:rsidRDefault="00762649" w:rsidP="00762649">
      <w:pPr>
        <w:pStyle w:val="Prrafodelista"/>
        <w:numPr>
          <w:ilvl w:val="0"/>
          <w:numId w:val="43"/>
        </w:numPr>
        <w:spacing w:before="140" w:after="140" w:line="240" w:lineRule="auto"/>
        <w:ind w:left="567" w:right="616" w:firstLine="0"/>
        <w:contextualSpacing w:val="0"/>
        <w:jc w:val="both"/>
        <w:rPr>
          <w:rFonts w:ascii="Palatino Linotype" w:hAnsi="Palatino Linotype"/>
          <w:i/>
          <w:sz w:val="20"/>
          <w:szCs w:val="20"/>
        </w:rPr>
      </w:pPr>
      <w:r w:rsidRPr="00762649">
        <w:rPr>
          <w:rFonts w:ascii="Palatino Linotype" w:hAnsi="Palatino Linotype"/>
          <w:b/>
          <w:i/>
          <w:sz w:val="20"/>
          <w:szCs w:val="20"/>
          <w:u w:val="single"/>
        </w:rPr>
        <w:t>Atender, tramitar y realizar el seguimiento a las</w:t>
      </w:r>
      <w:r w:rsidRPr="00762649">
        <w:rPr>
          <w:rFonts w:ascii="Palatino Linotype" w:hAnsi="Palatino Linotype"/>
          <w:i/>
          <w:sz w:val="20"/>
          <w:szCs w:val="20"/>
        </w:rPr>
        <w:t xml:space="preserve"> quejas y </w:t>
      </w:r>
      <w:r w:rsidRPr="00762649">
        <w:rPr>
          <w:rFonts w:ascii="Palatino Linotype" w:hAnsi="Palatino Linotype"/>
          <w:b/>
          <w:i/>
          <w:sz w:val="20"/>
          <w:szCs w:val="20"/>
          <w:u w:val="single"/>
        </w:rPr>
        <w:t>denuncias que se interpongan respecto de la actuación de los servidores públicos de la Secretaría</w:t>
      </w:r>
      <w:r w:rsidRPr="00762649">
        <w:rPr>
          <w:rFonts w:ascii="Palatino Linotype" w:hAnsi="Palatino Linotype"/>
          <w:i/>
          <w:sz w:val="20"/>
          <w:szCs w:val="20"/>
        </w:rPr>
        <w:t xml:space="preserve">. </w:t>
      </w:r>
    </w:p>
    <w:p w:rsidR="00762649" w:rsidRPr="00762649" w:rsidRDefault="00762649" w:rsidP="00762649">
      <w:pPr>
        <w:spacing w:before="140" w:after="14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pStyle w:val="Prrafodelista"/>
        <w:numPr>
          <w:ilvl w:val="0"/>
          <w:numId w:val="43"/>
        </w:numPr>
        <w:spacing w:before="140" w:after="140" w:line="240" w:lineRule="auto"/>
        <w:ind w:left="567" w:right="616" w:firstLine="0"/>
        <w:contextualSpacing w:val="0"/>
        <w:jc w:val="both"/>
        <w:rPr>
          <w:rFonts w:ascii="Palatino Linotype" w:hAnsi="Palatino Linotype"/>
          <w:i/>
          <w:sz w:val="20"/>
          <w:szCs w:val="20"/>
        </w:rPr>
      </w:pPr>
      <w:r w:rsidRPr="00762649">
        <w:rPr>
          <w:rFonts w:ascii="Palatino Linotype" w:hAnsi="Palatino Linotype"/>
          <w:b/>
          <w:i/>
          <w:sz w:val="20"/>
          <w:szCs w:val="20"/>
          <w:u w:val="single"/>
        </w:rPr>
        <w:t>Dar a conocer a la Secretaría de la Contraloría el resultado de las acciones, comisiones o funciones que se le encomienden</w:t>
      </w:r>
      <w:r w:rsidRPr="00762649">
        <w:rPr>
          <w:rFonts w:ascii="Palatino Linotype" w:hAnsi="Palatino Linotype"/>
          <w:i/>
          <w:sz w:val="20"/>
          <w:szCs w:val="20"/>
        </w:rPr>
        <w:t>, y sugerir a la Secretaría de Infraestructura, la instrumentación de normas complementarias en materia de control.</w:t>
      </w:r>
    </w:p>
    <w:p w:rsidR="00762649" w:rsidRPr="00762649" w:rsidRDefault="00762649" w:rsidP="00762649">
      <w:pPr>
        <w:spacing w:before="140" w:after="140"/>
        <w:ind w:left="567" w:right="616"/>
        <w:jc w:val="both"/>
        <w:rPr>
          <w:rFonts w:ascii="Palatino Linotype" w:hAnsi="Palatino Linotype" w:cs="Arial"/>
          <w:i/>
          <w:sz w:val="20"/>
          <w:szCs w:val="20"/>
        </w:rPr>
      </w:pPr>
      <w:r w:rsidRPr="00762649">
        <w:rPr>
          <w:rFonts w:ascii="Palatino Linotype" w:hAnsi="Palatino Linotype" w:cs="Arial"/>
          <w:i/>
          <w:sz w:val="20"/>
          <w:szCs w:val="20"/>
        </w:rPr>
        <w:t>(Énfasis añadido)</w:t>
      </w:r>
    </w:p>
    <w:p w:rsidR="00762649" w:rsidRPr="00762649" w:rsidRDefault="00762649" w:rsidP="00762649">
      <w:pPr>
        <w:pStyle w:val="Prrafodelista"/>
        <w:widowControl w:val="0"/>
        <w:autoSpaceDE w:val="0"/>
        <w:autoSpaceDN w:val="0"/>
        <w:adjustRightInd w:val="0"/>
        <w:spacing w:before="240" w:after="240" w:line="360" w:lineRule="auto"/>
        <w:ind w:left="567" w:right="616"/>
        <w:jc w:val="both"/>
        <w:rPr>
          <w:rFonts w:ascii="Palatino Linotype" w:hAnsi="Palatino Linotype" w:cs="Arial"/>
          <w:i/>
          <w:sz w:val="20"/>
          <w:szCs w:val="20"/>
          <w:lang w:val="es-ES"/>
        </w:rPr>
      </w:pPr>
      <w:r w:rsidRPr="00762649">
        <w:rPr>
          <w:rFonts w:ascii="Palatino Linotype" w:hAnsi="Palatino Linotype" w:cs="Arial"/>
          <w:i/>
          <w:sz w:val="20"/>
          <w:szCs w:val="20"/>
        </w:rPr>
        <w:t xml:space="preserve">De la trascripción anterior, se advierte que los Sujetos Obligados competentes, que pudieran conocer de los resultados de las denuncias, auditorias y asuntos que se hubieran realizado con la participación del C. </w:t>
      </w:r>
      <w:r w:rsidRPr="00762649">
        <w:rPr>
          <w:rFonts w:ascii="Palatino Linotype" w:hAnsi="Palatino Linotype" w:cs="Arial"/>
          <w:i/>
          <w:sz w:val="20"/>
          <w:szCs w:val="20"/>
          <w:lang w:val="es-ES"/>
        </w:rPr>
        <w:t xml:space="preserve">Oscar Vilchis González, en su carácter de Contralor Interno, es la propia Secretaría de Obra Pública, así como la Secretaría de la Contraloría, esta última, en razón de que, acorde al </w:t>
      </w:r>
      <w:r w:rsidRPr="00762649">
        <w:rPr>
          <w:rFonts w:ascii="Palatino Linotype" w:hAnsi="Palatino Linotype" w:cs="Arial"/>
          <w:i/>
          <w:sz w:val="20"/>
          <w:szCs w:val="20"/>
        </w:rPr>
        <w:t>Manual de General de Organización de la Secretaría de Infraestructura que resulta aplicable, a ésta se le</w:t>
      </w:r>
      <w:r w:rsidRPr="00762649">
        <w:rPr>
          <w:rFonts w:ascii="Palatino Linotype" w:hAnsi="Palatino Linotype" w:cs="Arial"/>
          <w:i/>
          <w:sz w:val="20"/>
          <w:szCs w:val="20"/>
          <w:lang w:val="es-ES"/>
        </w:rPr>
        <w:t xml:space="preserve"> dan a conocer los resultados de las acciones, comisiones o funciones que se le hayan sido encomendadas al Contralor Interno de la Secretaría de Obra Pública.</w:t>
      </w:r>
    </w:p>
    <w:p w:rsidR="00762649" w:rsidRPr="00762649" w:rsidRDefault="00762649" w:rsidP="00762649">
      <w:pPr>
        <w:pStyle w:val="Prrafodelista"/>
        <w:widowControl w:val="0"/>
        <w:autoSpaceDE w:val="0"/>
        <w:autoSpaceDN w:val="0"/>
        <w:adjustRightInd w:val="0"/>
        <w:spacing w:before="240" w:after="240" w:line="360" w:lineRule="auto"/>
        <w:ind w:left="567" w:right="616"/>
        <w:jc w:val="both"/>
        <w:rPr>
          <w:rFonts w:ascii="Palatino Linotype" w:eastAsia="Calibri" w:hAnsi="Palatino Linotype" w:cs="Arial"/>
          <w:i/>
          <w:sz w:val="20"/>
          <w:szCs w:val="20"/>
        </w:rPr>
      </w:pPr>
      <w:r w:rsidRPr="00762649">
        <w:rPr>
          <w:rFonts w:ascii="Palatino Linotype" w:eastAsia="Calibri" w:hAnsi="Palatino Linotype" w:cs="Arial"/>
          <w:i/>
          <w:sz w:val="20"/>
          <w:szCs w:val="20"/>
        </w:rPr>
        <w:t>Ahora bien, por lo que corresponde a las actuaciones del Contralor Interno de la Secretaría de Obra Pública, en el Grupo Aeroportuario de la Ciudad de México, S.A. de C.V.</w:t>
      </w:r>
      <w:r w:rsidRPr="00762649">
        <w:rPr>
          <w:rStyle w:val="Refdenotaalpie"/>
          <w:rFonts w:ascii="Palatino Linotype" w:eastAsia="Calibri" w:hAnsi="Palatino Linotype" w:cs="Arial"/>
          <w:i/>
          <w:sz w:val="20"/>
          <w:szCs w:val="20"/>
        </w:rPr>
        <w:footnoteReference w:id="8"/>
      </w:r>
      <w:r w:rsidRPr="00762649">
        <w:rPr>
          <w:rFonts w:ascii="Palatino Linotype" w:eastAsia="Calibri" w:hAnsi="Palatino Linotype" w:cs="Arial"/>
          <w:i/>
          <w:sz w:val="20"/>
          <w:szCs w:val="20"/>
        </w:rPr>
        <w:t xml:space="preserve">, la cual es una </w:t>
      </w:r>
      <w:r w:rsidRPr="00762649">
        <w:rPr>
          <w:rFonts w:ascii="Palatino Linotype" w:eastAsia="Calibri" w:hAnsi="Palatino Linotype" w:cs="Arial"/>
          <w:b/>
          <w:i/>
          <w:sz w:val="20"/>
          <w:szCs w:val="20"/>
        </w:rPr>
        <w:t>empresa de participación estatal mayoritaria</w:t>
      </w:r>
      <w:r w:rsidRPr="00762649">
        <w:rPr>
          <w:rFonts w:ascii="Palatino Linotype" w:eastAsia="Calibri" w:hAnsi="Palatino Linotype" w:cs="Arial"/>
          <w:i/>
          <w:sz w:val="20"/>
          <w:szCs w:val="20"/>
        </w:rPr>
        <w:t xml:space="preserve"> responsable de construir, administrar, operar y explotar el Nuevo Aeropuerto Internacional de la Ciudad de México (NAICM), conforme al título de concesión otorgado por el Gobierno Federal, publicado en el Diario Oficial de la Federación el 26 de enero de 2015; por lo que, en caso de que existieren actuaciones en que haya intervenido el referido servidor público con relación a dicha empresa de participación estatal, la cuales debieren documentarse, de conformidad con las atribuciones que le son conferidas a través del </w:t>
      </w:r>
      <w:r w:rsidRPr="00762649">
        <w:rPr>
          <w:rFonts w:ascii="Palatino Linotype" w:hAnsi="Palatino Linotype" w:cs="Arial"/>
          <w:i/>
          <w:sz w:val="20"/>
          <w:szCs w:val="20"/>
        </w:rPr>
        <w:t xml:space="preserve">Reglamento Interior de la Secretaría de Infraestructura y su Manual de General de Organización, el Sujeto Obligado que pudiera contar con la información requerida es la </w:t>
      </w:r>
      <w:r w:rsidRPr="00762649">
        <w:rPr>
          <w:rFonts w:ascii="Palatino Linotype" w:hAnsi="Palatino Linotype" w:cs="Arial"/>
          <w:i/>
          <w:sz w:val="20"/>
          <w:szCs w:val="20"/>
          <w:lang w:val="es-ES"/>
        </w:rPr>
        <w:t xml:space="preserve">Secretaría de Obra Pública, al resultar aplicables acorde a lo señalado en el </w:t>
      </w:r>
      <w:r w:rsidRPr="00762649">
        <w:rPr>
          <w:rFonts w:ascii="Palatino Linotype" w:eastAsia="Calibri" w:hAnsi="Palatino Linotype" w:cs="Arial"/>
          <w:i/>
          <w:sz w:val="20"/>
          <w:szCs w:val="20"/>
        </w:rPr>
        <w:t xml:space="preserve">Transitorio Cuarto </w:t>
      </w:r>
      <w:r w:rsidRPr="00762649">
        <w:rPr>
          <w:rFonts w:ascii="Palatino Linotype" w:eastAsia="Calibri" w:hAnsi="Palatino Linotype" w:cs="Arial"/>
          <w:i/>
          <w:sz w:val="20"/>
          <w:szCs w:val="20"/>
        </w:rPr>
        <w:lastRenderedPageBreak/>
        <w:t>del Decreto Número 244, previamente citado o, en su caso, el propio el Grupo Aeroportuario de la Ciudad de México, S.A. de C.V., acorde a lo establecido en el Padrón de Sujetos Obligados del Ámbito Federal, en términos de la Ley General de Transparencia y Acceso a la Información Pública, publicado en el Diario Oficial de la Federación el 4 de mayo de 2016:</w:t>
      </w:r>
    </w:p>
    <w:p w:rsidR="00762649" w:rsidRPr="00762649" w:rsidRDefault="00762649" w:rsidP="00762649">
      <w:pPr>
        <w:spacing w:before="120" w:after="240"/>
        <w:ind w:left="567" w:right="616"/>
        <w:jc w:val="center"/>
        <w:rPr>
          <w:rFonts w:ascii="Palatino Linotype" w:hAnsi="Palatino Linotype"/>
          <w:b/>
          <w:i/>
          <w:sz w:val="20"/>
          <w:szCs w:val="20"/>
        </w:rPr>
      </w:pPr>
      <w:r w:rsidRPr="00762649">
        <w:rPr>
          <w:rFonts w:ascii="Palatino Linotype" w:hAnsi="Palatino Linotype"/>
          <w:b/>
          <w:i/>
          <w:sz w:val="20"/>
          <w:szCs w:val="20"/>
        </w:rPr>
        <w:t>PADRÓN DE SUJETOS OBLIGADOS DEL ÁMBITO FEDERAL, EN TÉRMINOS DE LA LEY GENERAL DE TRANSPARENCIA Y ACCESO A LA INFORMACIÓN PÚBLICA</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r w:rsidRPr="00762649">
        <w:rPr>
          <w:rFonts w:ascii="Palatino Linotype" w:hAnsi="Palatino Linotype"/>
          <w:b/>
          <w:i/>
          <w:sz w:val="20"/>
          <w:szCs w:val="20"/>
          <w:u w:val="single"/>
        </w:rPr>
        <w:t>Los sujetos obligados del ámbito federal que deben de cumplir con la Ley General de Transparencia y Acceso a la Información Pública, son los siguientes</w:t>
      </w: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b/>
          <w:i/>
          <w:sz w:val="20"/>
          <w:szCs w:val="20"/>
          <w:u w:val="single"/>
        </w:rPr>
      </w:pPr>
      <w:r w:rsidRPr="00762649">
        <w:rPr>
          <w:rFonts w:ascii="Palatino Linotype" w:hAnsi="Palatino Linotype"/>
          <w:b/>
          <w:i/>
          <w:sz w:val="20"/>
          <w:szCs w:val="20"/>
        </w:rPr>
        <w:t xml:space="preserve">B. </w:t>
      </w:r>
      <w:r w:rsidRPr="00762649">
        <w:rPr>
          <w:rFonts w:ascii="Palatino Linotype" w:hAnsi="Palatino Linotype"/>
          <w:b/>
          <w:i/>
          <w:sz w:val="20"/>
          <w:szCs w:val="20"/>
          <w:u w:val="single"/>
        </w:rPr>
        <w:t>Administración Pública Paraestatal del Poder Ejecutivo Federal</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a)</w:t>
      </w:r>
      <w:r w:rsidRPr="00762649">
        <w:rPr>
          <w:rFonts w:ascii="Palatino Linotype" w:hAnsi="Palatino Linotype"/>
          <w:i/>
          <w:sz w:val="20"/>
          <w:szCs w:val="20"/>
        </w:rPr>
        <w:tab/>
        <w:t>Organismos descentralizados:</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rPr>
        <w:t>b)</w:t>
      </w:r>
      <w:r w:rsidRPr="00762649">
        <w:rPr>
          <w:rFonts w:ascii="Palatino Linotype" w:hAnsi="Palatino Linotype"/>
          <w:b/>
          <w:i/>
          <w:sz w:val="20"/>
          <w:szCs w:val="20"/>
        </w:rPr>
        <w:tab/>
      </w:r>
      <w:r w:rsidRPr="00762649">
        <w:rPr>
          <w:rFonts w:ascii="Palatino Linotype" w:hAnsi="Palatino Linotype"/>
          <w:b/>
          <w:i/>
          <w:sz w:val="20"/>
          <w:szCs w:val="20"/>
          <w:u w:val="single"/>
        </w:rPr>
        <w:t>Empresas de Participación Estatal</w:t>
      </w:r>
      <w:r w:rsidRPr="00762649">
        <w:rPr>
          <w:rFonts w:ascii="Palatino Linotype" w:hAnsi="Palatino Linotype"/>
          <w:i/>
          <w:sz w:val="20"/>
          <w:szCs w:val="20"/>
        </w:rPr>
        <w:t>, Instituciones Nacionales de Crédito, Organizaciones Auxiliares Nacionales de Crédito e Instituciones Nacionales de Seguros y de Fianzas:</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i/>
          <w:sz w:val="20"/>
          <w:szCs w:val="20"/>
        </w:rPr>
      </w:pPr>
      <w:r w:rsidRPr="00762649">
        <w:rPr>
          <w:rFonts w:ascii="Palatino Linotype" w:hAnsi="Palatino Linotype"/>
          <w:b/>
          <w:i/>
          <w:sz w:val="20"/>
          <w:szCs w:val="20"/>
          <w:u w:val="single"/>
        </w:rPr>
        <w:t>09450 Grupo Aeroportuario de la Ciudad de México, S.A. de C.V.</w:t>
      </w:r>
      <w:r w:rsidRPr="00762649">
        <w:rPr>
          <w:rFonts w:ascii="Palatino Linotype" w:hAnsi="Palatino Linotype"/>
          <w:i/>
          <w:sz w:val="20"/>
          <w:szCs w:val="20"/>
        </w:rPr>
        <w:t>”</w:t>
      </w:r>
    </w:p>
    <w:p w:rsidR="00762649" w:rsidRPr="00762649" w:rsidRDefault="00762649" w:rsidP="00762649">
      <w:pPr>
        <w:spacing w:before="160"/>
        <w:ind w:left="567" w:right="616"/>
        <w:jc w:val="both"/>
        <w:rPr>
          <w:rFonts w:ascii="Palatino Linotype" w:hAnsi="Palatino Linotype" w:cs="Arial"/>
          <w:i/>
          <w:sz w:val="20"/>
          <w:szCs w:val="20"/>
        </w:rPr>
      </w:pPr>
      <w:r w:rsidRPr="00762649">
        <w:rPr>
          <w:rFonts w:ascii="Palatino Linotype" w:hAnsi="Palatino Linotype" w:cs="Arial"/>
          <w:i/>
          <w:sz w:val="20"/>
          <w:szCs w:val="20"/>
        </w:rPr>
        <w:t>(Énfasis añadido)</w:t>
      </w:r>
    </w:p>
    <w:p w:rsidR="00762649" w:rsidRPr="00762649" w:rsidRDefault="00762649" w:rsidP="00762649">
      <w:pPr>
        <w:pStyle w:val="Prrafodelista"/>
        <w:widowControl w:val="0"/>
        <w:autoSpaceDE w:val="0"/>
        <w:autoSpaceDN w:val="0"/>
        <w:adjustRightInd w:val="0"/>
        <w:spacing w:before="360" w:after="240" w:line="360" w:lineRule="auto"/>
        <w:ind w:left="567" w:right="616"/>
        <w:jc w:val="both"/>
        <w:rPr>
          <w:rFonts w:ascii="Palatino Linotype" w:eastAsia="Calibri" w:hAnsi="Palatino Linotype" w:cs="Arial"/>
          <w:i/>
          <w:sz w:val="20"/>
          <w:szCs w:val="20"/>
        </w:rPr>
      </w:pPr>
      <w:r w:rsidRPr="00762649">
        <w:rPr>
          <w:rFonts w:ascii="Palatino Linotype" w:eastAsia="Calibri" w:hAnsi="Palatino Linotype" w:cs="Arial"/>
          <w:i/>
          <w:sz w:val="20"/>
          <w:szCs w:val="20"/>
        </w:rPr>
        <w:t xml:space="preserve">Finalmente, en cuanto </w:t>
      </w:r>
      <w:r w:rsidRPr="00762649">
        <w:rPr>
          <w:rFonts w:ascii="Palatino Linotype" w:hAnsi="Palatino Linotype"/>
          <w:i/>
          <w:sz w:val="20"/>
          <w:szCs w:val="20"/>
          <w:lang w:eastAsia="es-ES_tradnl"/>
        </w:rPr>
        <w:t xml:space="preserve">a la información del </w:t>
      </w:r>
      <w:r w:rsidRPr="00762649">
        <w:rPr>
          <w:rFonts w:ascii="Palatino Linotype" w:hAnsi="Palatino Linotype"/>
          <w:b/>
          <w:i/>
          <w:sz w:val="20"/>
          <w:szCs w:val="20"/>
          <w:lang w:eastAsia="es-ES_tradnl"/>
        </w:rPr>
        <w:t>numeral 5</w:t>
      </w:r>
      <w:r w:rsidRPr="00762649">
        <w:rPr>
          <w:rFonts w:ascii="Palatino Linotype" w:hAnsi="Palatino Linotype"/>
          <w:i/>
          <w:sz w:val="20"/>
          <w:szCs w:val="20"/>
          <w:lang w:eastAsia="es-ES_tradnl"/>
        </w:rPr>
        <w:t xml:space="preserve"> referente a la </w:t>
      </w:r>
      <w:r w:rsidRPr="00762649">
        <w:rPr>
          <w:rFonts w:ascii="Palatino Linotype" w:eastAsia="Calibri" w:hAnsi="Palatino Linotype" w:cs="Arial"/>
          <w:i/>
          <w:sz w:val="20"/>
          <w:szCs w:val="20"/>
        </w:rPr>
        <w:t xml:space="preserve">investigación que pudiera estar llevándose a cabo por la Procuraduría General de la República en contra del C. </w:t>
      </w:r>
      <w:r w:rsidRPr="00762649">
        <w:rPr>
          <w:rFonts w:ascii="Palatino Linotype" w:hAnsi="Palatino Linotype" w:cs="Arial"/>
          <w:i/>
          <w:sz w:val="20"/>
          <w:szCs w:val="20"/>
          <w:lang w:val="es-ES"/>
        </w:rPr>
        <w:t>Oscar Vilchis González, debe precisarse lo relativo, establecido en la Ley Orgánica de la Procuraduría General de la República:</w:t>
      </w:r>
    </w:p>
    <w:p w:rsidR="00762649" w:rsidRPr="00762649" w:rsidRDefault="00762649" w:rsidP="00762649">
      <w:pPr>
        <w:spacing w:before="200" w:after="200"/>
        <w:ind w:left="567" w:right="616"/>
        <w:jc w:val="both"/>
        <w:rPr>
          <w:rFonts w:ascii="Palatino Linotype" w:hAnsi="Palatino Linotype"/>
          <w:i/>
          <w:sz w:val="20"/>
          <w:szCs w:val="20"/>
        </w:rPr>
      </w:pPr>
      <w:r w:rsidRPr="00762649">
        <w:rPr>
          <w:rFonts w:ascii="Palatino Linotype" w:hAnsi="Palatino Linotype"/>
          <w:i/>
          <w:sz w:val="20"/>
          <w:szCs w:val="20"/>
        </w:rPr>
        <w:lastRenderedPageBreak/>
        <w:t>“</w:t>
      </w:r>
      <w:r w:rsidRPr="00762649">
        <w:rPr>
          <w:rFonts w:ascii="Palatino Linotype" w:hAnsi="Palatino Linotype"/>
          <w:b/>
          <w:i/>
          <w:sz w:val="20"/>
          <w:szCs w:val="20"/>
        </w:rPr>
        <w:t xml:space="preserve">Artículo 2.- </w:t>
      </w:r>
      <w:r w:rsidRPr="00762649">
        <w:rPr>
          <w:rFonts w:ascii="Palatino Linotype" w:hAnsi="Palatino Linotype"/>
          <w:b/>
          <w:i/>
          <w:sz w:val="20"/>
          <w:szCs w:val="20"/>
          <w:u w:val="single"/>
        </w:rPr>
        <w:t>Al frente de la Procuraduría General de la República estará el Procurador General de la República, quien presidirá al Ministerio Público de la Federación</w:t>
      </w:r>
      <w:r w:rsidRPr="00762649">
        <w:rPr>
          <w:rFonts w:ascii="Palatino Linotype" w:hAnsi="Palatino Linotype"/>
          <w:i/>
          <w:sz w:val="20"/>
          <w:szCs w:val="20"/>
        </w:rPr>
        <w:t>.</w:t>
      </w:r>
    </w:p>
    <w:p w:rsidR="00762649" w:rsidRPr="00762649" w:rsidRDefault="00762649" w:rsidP="00762649">
      <w:pPr>
        <w:spacing w:before="200" w:after="200"/>
        <w:ind w:left="567" w:right="616"/>
        <w:jc w:val="both"/>
        <w:rPr>
          <w:rFonts w:ascii="Palatino Linotype" w:hAnsi="Palatino Linotype"/>
          <w:i/>
          <w:sz w:val="20"/>
          <w:szCs w:val="20"/>
        </w:rPr>
      </w:pPr>
      <w:r w:rsidRPr="00762649">
        <w:rPr>
          <w:rFonts w:ascii="Palatino Linotype" w:hAnsi="Palatino Linotype"/>
          <w:b/>
          <w:i/>
          <w:sz w:val="20"/>
          <w:szCs w:val="20"/>
        </w:rPr>
        <w:t xml:space="preserve">Artículo 4.- </w:t>
      </w:r>
      <w:r w:rsidRPr="00762649">
        <w:rPr>
          <w:rFonts w:ascii="Palatino Linotype" w:hAnsi="Palatino Linotype"/>
          <w:b/>
          <w:i/>
          <w:sz w:val="20"/>
          <w:szCs w:val="20"/>
          <w:u w:val="single"/>
        </w:rPr>
        <w:t>Corresponde al Ministerio Público de la Federación</w:t>
      </w:r>
      <w:r w:rsidRPr="00762649">
        <w:rPr>
          <w:rFonts w:ascii="Palatino Linotype" w:hAnsi="Palatino Linotype"/>
          <w:i/>
          <w:sz w:val="20"/>
          <w:szCs w:val="20"/>
        </w:rPr>
        <w:t>:</w:t>
      </w:r>
    </w:p>
    <w:p w:rsidR="00762649" w:rsidRPr="00762649" w:rsidRDefault="00762649" w:rsidP="00762649">
      <w:pPr>
        <w:spacing w:before="200" w:after="200"/>
        <w:ind w:left="567" w:right="616"/>
        <w:jc w:val="both"/>
        <w:rPr>
          <w:rFonts w:ascii="Palatino Linotype" w:hAnsi="Palatino Linotype"/>
          <w:i/>
          <w:sz w:val="20"/>
          <w:szCs w:val="20"/>
        </w:rPr>
      </w:pPr>
      <w:r w:rsidRPr="00762649">
        <w:rPr>
          <w:rFonts w:ascii="Palatino Linotype" w:hAnsi="Palatino Linotype"/>
          <w:b/>
          <w:i/>
          <w:sz w:val="20"/>
          <w:szCs w:val="20"/>
        </w:rPr>
        <w:t xml:space="preserve">I. </w:t>
      </w:r>
      <w:r w:rsidRPr="00762649">
        <w:rPr>
          <w:rFonts w:ascii="Palatino Linotype" w:hAnsi="Palatino Linotype"/>
          <w:b/>
          <w:i/>
          <w:sz w:val="20"/>
          <w:szCs w:val="20"/>
          <w:u w:val="single"/>
        </w:rPr>
        <w:t>Investigar y perseguir los delitos del orden federal</w:t>
      </w:r>
      <w:r w:rsidRPr="00762649">
        <w:rPr>
          <w:rFonts w:ascii="Palatino Linotype" w:hAnsi="Palatino Linotype"/>
          <w:i/>
          <w:sz w:val="20"/>
          <w:szCs w:val="20"/>
        </w:rPr>
        <w:t>. El ejercicio de esta atribución comprende:</w:t>
      </w:r>
    </w:p>
    <w:p w:rsidR="00762649" w:rsidRPr="00762649" w:rsidRDefault="00762649" w:rsidP="00762649">
      <w:pPr>
        <w:spacing w:before="200" w:after="200"/>
        <w:ind w:left="567" w:right="616"/>
        <w:jc w:val="both"/>
        <w:rPr>
          <w:rFonts w:ascii="Palatino Linotype" w:hAnsi="Palatino Linotype" w:cs="Arial"/>
          <w:i/>
          <w:sz w:val="20"/>
          <w:szCs w:val="20"/>
        </w:rPr>
      </w:pPr>
      <w:r w:rsidRPr="00762649">
        <w:rPr>
          <w:rFonts w:ascii="Palatino Linotype" w:hAnsi="Palatino Linotype" w:cs="Arial"/>
          <w:i/>
          <w:sz w:val="20"/>
          <w:szCs w:val="20"/>
        </w:rPr>
        <w:t>(Énfasis añadido)</w:t>
      </w:r>
    </w:p>
    <w:p w:rsidR="00762649" w:rsidRPr="00762649" w:rsidRDefault="00762649" w:rsidP="00762649">
      <w:pPr>
        <w:pStyle w:val="Prrafodelista"/>
        <w:widowControl w:val="0"/>
        <w:autoSpaceDE w:val="0"/>
        <w:autoSpaceDN w:val="0"/>
        <w:adjustRightInd w:val="0"/>
        <w:spacing w:before="240" w:after="120" w:line="360" w:lineRule="auto"/>
        <w:ind w:left="567" w:right="616"/>
        <w:jc w:val="both"/>
        <w:rPr>
          <w:rFonts w:ascii="Palatino Linotype" w:eastAsia="Calibri" w:hAnsi="Palatino Linotype" w:cs="Arial"/>
          <w:i/>
          <w:sz w:val="20"/>
          <w:szCs w:val="20"/>
        </w:rPr>
      </w:pPr>
      <w:r w:rsidRPr="00762649">
        <w:rPr>
          <w:rFonts w:ascii="Palatino Linotype" w:eastAsia="Calibri" w:hAnsi="Palatino Linotype" w:cs="Arial"/>
          <w:i/>
          <w:sz w:val="20"/>
          <w:szCs w:val="20"/>
        </w:rPr>
        <w:t>Por tanto, en caso de que existan investigaciones relacionadas con delitos del orden federal, en contra del referido servidor público, e</w:t>
      </w:r>
      <w:r w:rsidRPr="00762649">
        <w:rPr>
          <w:rFonts w:ascii="Palatino Linotype" w:hAnsi="Palatino Linotype" w:cs="Arial"/>
          <w:i/>
          <w:sz w:val="20"/>
          <w:szCs w:val="20"/>
        </w:rPr>
        <w:t xml:space="preserve">l Sujeto Obligado que pudiera contar con la información requerida es la </w:t>
      </w:r>
      <w:r w:rsidRPr="00762649">
        <w:rPr>
          <w:rFonts w:ascii="Palatino Linotype" w:eastAsia="Calibri" w:hAnsi="Palatino Linotype" w:cs="Arial"/>
          <w:i/>
          <w:sz w:val="20"/>
          <w:szCs w:val="20"/>
        </w:rPr>
        <w:t>Procuraduría General de la República, en acorde a lo establecido en el Padrón de Sujetos Obligados del Ámbito Federal, en términos de la Ley General de Transparencia y Acceso a la Información Pública, publicado en el Diario Oficial de la Federación el 4 de mayo de 2016:</w:t>
      </w:r>
    </w:p>
    <w:p w:rsidR="00762649" w:rsidRPr="00762649" w:rsidRDefault="00762649" w:rsidP="00762649">
      <w:pPr>
        <w:spacing w:before="120" w:after="120"/>
        <w:ind w:left="567" w:right="616"/>
        <w:jc w:val="center"/>
        <w:rPr>
          <w:rFonts w:ascii="Palatino Linotype" w:hAnsi="Palatino Linotype"/>
          <w:b/>
          <w:i/>
          <w:sz w:val="20"/>
          <w:szCs w:val="20"/>
        </w:rPr>
      </w:pPr>
      <w:r w:rsidRPr="00762649">
        <w:rPr>
          <w:rFonts w:ascii="Palatino Linotype" w:hAnsi="Palatino Linotype"/>
          <w:b/>
          <w:i/>
          <w:sz w:val="20"/>
          <w:szCs w:val="20"/>
        </w:rPr>
        <w:t>PADRÓN DE SUJETOS OBLIGADOS DEL ÁMBITO FEDERAL, EN TÉRMINOS DE LA LEY GENERAL DE TRANSPARENCIA Y ACCESO A LA INFORMACIÓN PÚBLICA</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w:t>
      </w:r>
      <w:r w:rsidRPr="00762649">
        <w:rPr>
          <w:rFonts w:ascii="Palatino Linotype" w:hAnsi="Palatino Linotype"/>
          <w:b/>
          <w:i/>
          <w:sz w:val="20"/>
          <w:szCs w:val="20"/>
          <w:u w:val="single"/>
        </w:rPr>
        <w:t>Los sujetos obligados del ámbito federal que deben de cumplir con la Ley General de Transparencia y Acceso a la Información Pública, son los siguientes</w:t>
      </w:r>
      <w:r w:rsidRPr="00762649">
        <w:rPr>
          <w:rFonts w:ascii="Palatino Linotype" w:hAnsi="Palatino Linotype"/>
          <w:i/>
          <w:sz w:val="20"/>
          <w:szCs w:val="20"/>
        </w:rPr>
        <w:t>:</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tabs>
          <w:tab w:val="left" w:pos="1134"/>
        </w:tabs>
        <w:spacing w:before="120" w:after="120"/>
        <w:ind w:left="567" w:right="616"/>
        <w:jc w:val="both"/>
        <w:rPr>
          <w:rFonts w:ascii="Palatino Linotype" w:hAnsi="Palatino Linotype"/>
          <w:b/>
          <w:i/>
          <w:sz w:val="20"/>
          <w:szCs w:val="20"/>
        </w:rPr>
      </w:pPr>
      <w:r w:rsidRPr="00762649">
        <w:rPr>
          <w:rFonts w:ascii="Palatino Linotype" w:hAnsi="Palatino Linotype"/>
          <w:b/>
          <w:i/>
          <w:sz w:val="20"/>
          <w:szCs w:val="20"/>
        </w:rPr>
        <w:t>II.</w:t>
      </w:r>
      <w:r w:rsidRPr="00762649">
        <w:rPr>
          <w:rFonts w:ascii="Palatino Linotype" w:hAnsi="Palatino Linotype"/>
          <w:b/>
          <w:i/>
          <w:sz w:val="20"/>
          <w:szCs w:val="20"/>
        </w:rPr>
        <w:tab/>
      </w:r>
      <w:r w:rsidRPr="00762649">
        <w:rPr>
          <w:rFonts w:ascii="Palatino Linotype" w:hAnsi="Palatino Linotype"/>
          <w:b/>
          <w:i/>
          <w:sz w:val="20"/>
          <w:szCs w:val="20"/>
          <w:u w:val="single"/>
        </w:rPr>
        <w:t>PODER EJECUTIVO FEDERAL</w:t>
      </w:r>
    </w:p>
    <w:p w:rsidR="00762649" w:rsidRPr="00762649" w:rsidRDefault="00762649" w:rsidP="00762649">
      <w:pPr>
        <w:spacing w:before="120" w:after="120"/>
        <w:ind w:left="567" w:right="616"/>
        <w:jc w:val="both"/>
        <w:rPr>
          <w:rFonts w:ascii="Palatino Linotype" w:hAnsi="Palatino Linotype"/>
          <w:i/>
          <w:sz w:val="20"/>
          <w:szCs w:val="20"/>
        </w:rPr>
      </w:pPr>
      <w:r w:rsidRPr="00762649">
        <w:rPr>
          <w:rFonts w:ascii="Palatino Linotype" w:hAnsi="Palatino Linotype"/>
          <w:b/>
          <w:i/>
          <w:sz w:val="20"/>
          <w:szCs w:val="20"/>
        </w:rPr>
        <w:t>A)</w:t>
      </w:r>
      <w:r w:rsidRPr="00762649">
        <w:rPr>
          <w:rFonts w:ascii="Palatino Linotype" w:hAnsi="Palatino Linotype"/>
          <w:b/>
          <w:i/>
          <w:sz w:val="20"/>
          <w:szCs w:val="20"/>
        </w:rPr>
        <w:tab/>
      </w:r>
      <w:r w:rsidRPr="00762649">
        <w:rPr>
          <w:rFonts w:ascii="Palatino Linotype" w:hAnsi="Palatino Linotype"/>
          <w:b/>
          <w:i/>
          <w:sz w:val="20"/>
          <w:szCs w:val="20"/>
          <w:u w:val="single"/>
        </w:rPr>
        <w:t>Administración Pública Centralizada</w:t>
      </w:r>
    </w:p>
    <w:p w:rsidR="00762649" w:rsidRPr="00762649" w:rsidRDefault="00762649" w:rsidP="00762649">
      <w:pPr>
        <w:tabs>
          <w:tab w:val="left" w:pos="1134"/>
        </w:tabs>
        <w:spacing w:before="120" w:after="120"/>
        <w:ind w:left="567" w:right="616"/>
        <w:jc w:val="both"/>
        <w:rPr>
          <w:rFonts w:ascii="Palatino Linotype" w:hAnsi="Palatino Linotype"/>
          <w:i/>
          <w:sz w:val="20"/>
          <w:szCs w:val="20"/>
        </w:rPr>
      </w:pPr>
      <w:r w:rsidRPr="00762649">
        <w:rPr>
          <w:rFonts w:ascii="Palatino Linotype" w:hAnsi="Palatino Linotype"/>
          <w:i/>
          <w:sz w:val="20"/>
          <w:szCs w:val="20"/>
        </w:rPr>
        <w:t>[…]</w:t>
      </w:r>
    </w:p>
    <w:p w:rsidR="00762649" w:rsidRPr="00762649" w:rsidRDefault="00762649" w:rsidP="00762649">
      <w:pPr>
        <w:tabs>
          <w:tab w:val="left" w:pos="1134"/>
        </w:tabs>
        <w:spacing w:before="120" w:after="120"/>
        <w:ind w:left="567" w:right="616"/>
        <w:jc w:val="both"/>
        <w:rPr>
          <w:rFonts w:ascii="Palatino Linotype" w:hAnsi="Palatino Linotype"/>
          <w:b/>
          <w:i/>
          <w:sz w:val="20"/>
          <w:szCs w:val="20"/>
          <w:u w:val="single"/>
        </w:rPr>
      </w:pPr>
      <w:r w:rsidRPr="00762649">
        <w:rPr>
          <w:rFonts w:ascii="Palatino Linotype" w:hAnsi="Palatino Linotype"/>
          <w:b/>
          <w:i/>
          <w:sz w:val="20"/>
          <w:szCs w:val="20"/>
          <w:u w:val="single"/>
        </w:rPr>
        <w:t>00017</w:t>
      </w:r>
      <w:r w:rsidRPr="00762649">
        <w:rPr>
          <w:rFonts w:ascii="Palatino Linotype" w:hAnsi="Palatino Linotype"/>
          <w:b/>
          <w:i/>
          <w:sz w:val="20"/>
          <w:szCs w:val="20"/>
          <w:u w:val="single"/>
        </w:rPr>
        <w:tab/>
        <w:t>Procuraduría General de la República</w:t>
      </w:r>
    </w:p>
    <w:p w:rsidR="00762649" w:rsidRDefault="00762649" w:rsidP="00762649">
      <w:pPr>
        <w:spacing w:before="120" w:after="120"/>
        <w:ind w:left="567" w:right="616"/>
        <w:jc w:val="both"/>
        <w:rPr>
          <w:rFonts w:ascii="Palatino Linotype" w:hAnsi="Palatino Linotype" w:cs="Arial"/>
          <w:i/>
          <w:sz w:val="20"/>
          <w:szCs w:val="20"/>
        </w:rPr>
      </w:pPr>
      <w:r w:rsidRPr="00762649">
        <w:rPr>
          <w:rFonts w:ascii="Palatino Linotype" w:hAnsi="Palatino Linotype" w:cs="Arial"/>
          <w:i/>
          <w:sz w:val="20"/>
          <w:szCs w:val="20"/>
        </w:rPr>
        <w:t>(Énfasis añadido)</w:t>
      </w:r>
    </w:p>
    <w:p w:rsidR="00762649" w:rsidRDefault="00762649" w:rsidP="00762649">
      <w:pPr>
        <w:spacing w:before="120" w:after="120"/>
        <w:ind w:left="567" w:right="616"/>
        <w:jc w:val="both"/>
        <w:rPr>
          <w:rFonts w:ascii="Palatino Linotype" w:hAnsi="Palatino Linotype" w:cs="Arial"/>
          <w:i/>
          <w:sz w:val="20"/>
          <w:szCs w:val="20"/>
        </w:rPr>
      </w:pPr>
    </w:p>
    <w:p w:rsidR="00762649" w:rsidRDefault="00762649" w:rsidP="00762649">
      <w:pPr>
        <w:spacing w:before="120" w:after="120"/>
        <w:ind w:left="567" w:right="616"/>
        <w:jc w:val="both"/>
        <w:rPr>
          <w:rFonts w:ascii="Palatino Linotype" w:hAnsi="Palatino Linotype" w:cs="Arial"/>
          <w:i/>
          <w:sz w:val="20"/>
          <w:szCs w:val="20"/>
        </w:rPr>
      </w:pPr>
    </w:p>
    <w:p w:rsidR="00762649" w:rsidRDefault="00762649" w:rsidP="00E57EF9">
      <w:pPr>
        <w:pStyle w:val="Prrafodelista"/>
        <w:numPr>
          <w:ilvl w:val="0"/>
          <w:numId w:val="11"/>
        </w:numPr>
        <w:spacing w:before="120" w:after="120" w:line="360" w:lineRule="auto"/>
        <w:ind w:left="0" w:right="616"/>
        <w:jc w:val="both"/>
        <w:rPr>
          <w:rFonts w:ascii="Palatino Linotype" w:hAnsi="Palatino Linotype" w:cs="Arial"/>
          <w:sz w:val="24"/>
          <w:szCs w:val="20"/>
        </w:rPr>
      </w:pPr>
      <w:r w:rsidRPr="00E57EF9">
        <w:rPr>
          <w:rFonts w:ascii="Palatino Linotype" w:hAnsi="Palatino Linotype" w:cs="Arial"/>
          <w:sz w:val="24"/>
          <w:szCs w:val="20"/>
        </w:rPr>
        <w:t xml:space="preserve">Tal y como se aprecia, la Ponencia </w:t>
      </w:r>
      <w:proofErr w:type="spellStart"/>
      <w:r w:rsidRPr="00E57EF9">
        <w:rPr>
          <w:rFonts w:ascii="Palatino Linotype" w:hAnsi="Palatino Linotype" w:cs="Arial"/>
          <w:sz w:val="24"/>
          <w:szCs w:val="20"/>
        </w:rPr>
        <w:t>resolutora</w:t>
      </w:r>
      <w:proofErr w:type="spellEnd"/>
      <w:r w:rsidRPr="00E57EF9">
        <w:rPr>
          <w:rFonts w:ascii="Palatino Linotype" w:hAnsi="Palatino Linotype" w:cs="Arial"/>
          <w:sz w:val="24"/>
          <w:szCs w:val="20"/>
        </w:rPr>
        <w:t xml:space="preserve"> en el cuerpo del proyecto </w:t>
      </w:r>
      <w:r w:rsidR="00E57EF9" w:rsidRPr="00E57EF9">
        <w:rPr>
          <w:rFonts w:ascii="Palatino Linotype" w:hAnsi="Palatino Linotype" w:cs="Arial"/>
          <w:sz w:val="24"/>
          <w:szCs w:val="20"/>
        </w:rPr>
        <w:t xml:space="preserve">hizo de conocimiento a la parte recurrente que la información relativa al punto 3, 4 </w:t>
      </w:r>
      <w:r w:rsidR="00E57EF9" w:rsidRPr="00E57EF9">
        <w:rPr>
          <w:rFonts w:ascii="Palatino Linotype" w:hAnsi="Palatino Linotype" w:cs="Arial"/>
          <w:sz w:val="24"/>
          <w:szCs w:val="20"/>
        </w:rPr>
        <w:lastRenderedPageBreak/>
        <w:t>y 5 no se encuentra en posesión del Sujeto Obligado ante el cual interpuso el recurso de revisión, sino a uno diverso.</w:t>
      </w:r>
    </w:p>
    <w:p w:rsidR="00E57EF9" w:rsidRPr="00E57EF9" w:rsidRDefault="00E57EF9" w:rsidP="00E57EF9">
      <w:pPr>
        <w:pStyle w:val="Prrafodelista"/>
        <w:spacing w:before="120" w:after="120" w:line="360" w:lineRule="auto"/>
        <w:ind w:left="0" w:right="616"/>
        <w:jc w:val="both"/>
        <w:rPr>
          <w:rFonts w:ascii="Palatino Linotype" w:hAnsi="Palatino Linotype" w:cs="Arial"/>
          <w:sz w:val="24"/>
          <w:szCs w:val="20"/>
        </w:rPr>
      </w:pPr>
    </w:p>
    <w:p w:rsidR="00BC7E6A" w:rsidRPr="00A2127D" w:rsidRDefault="00BC7E6A" w:rsidP="00A2127D">
      <w:pPr>
        <w:pStyle w:val="Ttulo1"/>
        <w:numPr>
          <w:ilvl w:val="0"/>
          <w:numId w:val="37"/>
        </w:numPr>
      </w:pPr>
      <w:bookmarkStart w:id="3" w:name="_Toc527987676"/>
      <w:r w:rsidRPr="00A2127D">
        <w:t>De la Suplencia al Procedimiento de Acceso a la Información Pública.</w:t>
      </w:r>
      <w:bookmarkEnd w:id="3"/>
    </w:p>
    <w:p w:rsidR="00BC7E6A" w:rsidRDefault="00BC7E6A" w:rsidP="00BC7E6A">
      <w:pPr>
        <w:pStyle w:val="Prrafodelista"/>
        <w:spacing w:after="0" w:line="360" w:lineRule="auto"/>
        <w:ind w:left="0"/>
        <w:jc w:val="both"/>
        <w:rPr>
          <w:rFonts w:ascii="Palatino Linotype" w:hAnsi="Palatino Linotype" w:cs="Arial"/>
          <w:sz w:val="24"/>
          <w:szCs w:val="24"/>
        </w:rPr>
      </w:pPr>
    </w:p>
    <w:p w:rsidR="00D35091" w:rsidRPr="00E57EF9" w:rsidRDefault="00BC7E6A" w:rsidP="00B5526C">
      <w:pPr>
        <w:pStyle w:val="Prrafodelista"/>
        <w:numPr>
          <w:ilvl w:val="0"/>
          <w:numId w:val="11"/>
        </w:numPr>
        <w:spacing w:after="0" w:line="360" w:lineRule="auto"/>
        <w:ind w:left="0"/>
        <w:jc w:val="both"/>
        <w:rPr>
          <w:rFonts w:ascii="Palatino Linotype" w:hAnsi="Palatino Linotype" w:cs="Arial"/>
          <w:b/>
          <w:i/>
        </w:rPr>
      </w:pPr>
      <w:r w:rsidRPr="00762649">
        <w:rPr>
          <w:rFonts w:ascii="Palatino Linotype" w:hAnsi="Palatino Linotype" w:cs="Arial"/>
          <w:sz w:val="24"/>
          <w:szCs w:val="24"/>
        </w:rPr>
        <w:t>Como es</w:t>
      </w:r>
      <w:r w:rsidR="00B76303" w:rsidRPr="00762649">
        <w:rPr>
          <w:rFonts w:ascii="Palatino Linotype" w:hAnsi="Palatino Linotype" w:cs="Arial"/>
          <w:sz w:val="24"/>
          <w:szCs w:val="24"/>
        </w:rPr>
        <w:t xml:space="preserve"> de observarse en el </w:t>
      </w:r>
      <w:r w:rsidR="00762649" w:rsidRPr="00762649">
        <w:rPr>
          <w:rFonts w:ascii="Palatino Linotype" w:hAnsi="Palatino Linotype" w:cs="Arial"/>
          <w:sz w:val="24"/>
          <w:szCs w:val="24"/>
        </w:rPr>
        <w:t xml:space="preserve">proyecto de resolución, </w:t>
      </w:r>
      <w:r w:rsidR="00B76303" w:rsidRPr="00762649">
        <w:rPr>
          <w:rFonts w:ascii="Palatino Linotype" w:hAnsi="Palatino Linotype" w:cs="Arial"/>
          <w:sz w:val="24"/>
          <w:szCs w:val="24"/>
        </w:rPr>
        <w:t>el Sujeto Obligado no noti</w:t>
      </w:r>
      <w:r w:rsidR="00762649" w:rsidRPr="00762649">
        <w:rPr>
          <w:rFonts w:ascii="Palatino Linotype" w:hAnsi="Palatino Linotype" w:cs="Arial"/>
          <w:sz w:val="24"/>
          <w:szCs w:val="24"/>
        </w:rPr>
        <w:t>ficó al particular la información suficiente para que se deje por satisfecho el Derecho accionado</w:t>
      </w:r>
      <w:r w:rsidR="00762649">
        <w:rPr>
          <w:rFonts w:ascii="Palatino Linotype" w:hAnsi="Palatino Linotype" w:cs="Arial"/>
          <w:sz w:val="24"/>
          <w:szCs w:val="24"/>
        </w:rPr>
        <w:t>.</w:t>
      </w:r>
    </w:p>
    <w:p w:rsidR="00E57EF9" w:rsidRPr="00762649" w:rsidRDefault="00E57EF9" w:rsidP="00E57EF9">
      <w:pPr>
        <w:pStyle w:val="Prrafodelista"/>
        <w:spacing w:after="0" w:line="360" w:lineRule="auto"/>
        <w:ind w:left="0"/>
        <w:jc w:val="both"/>
        <w:rPr>
          <w:rFonts w:ascii="Palatino Linotype" w:hAnsi="Palatino Linotype" w:cs="Arial"/>
          <w:b/>
          <w:i/>
        </w:rPr>
      </w:pPr>
    </w:p>
    <w:p w:rsidR="00BC7E6A" w:rsidRPr="00762649" w:rsidRDefault="00762649" w:rsidP="00762649">
      <w:pPr>
        <w:pStyle w:val="Prrafodelista"/>
        <w:numPr>
          <w:ilvl w:val="0"/>
          <w:numId w:val="11"/>
        </w:numPr>
        <w:spacing w:after="0" w:line="360" w:lineRule="auto"/>
        <w:ind w:left="0"/>
        <w:jc w:val="both"/>
        <w:rPr>
          <w:rFonts w:ascii="Palatino Linotype" w:hAnsi="Palatino Linotype" w:cs="Arial"/>
          <w:b/>
          <w:i/>
          <w:sz w:val="24"/>
          <w:szCs w:val="24"/>
        </w:rPr>
      </w:pPr>
      <w:r w:rsidRPr="00762649">
        <w:rPr>
          <w:rFonts w:ascii="Palatino Linotype" w:hAnsi="Palatino Linotype" w:cs="Arial"/>
          <w:sz w:val="24"/>
          <w:szCs w:val="24"/>
        </w:rPr>
        <w:t xml:space="preserve">Sin embargo, la Ponencia encargada de desarrollar el proyecto de resolución, al percatarse de ésta situación, decidió suplir las deficiencias del Sujeto Obligado para que en base a ello </w:t>
      </w:r>
      <w:r w:rsidRPr="00762649">
        <w:rPr>
          <w:rFonts w:ascii="Palatino Linotype" w:hAnsi="Palatino Linotype" w:cs="Arial"/>
          <w:b/>
          <w:i/>
          <w:sz w:val="24"/>
          <w:szCs w:val="24"/>
        </w:rPr>
        <w:t xml:space="preserve"> </w:t>
      </w:r>
      <w:r w:rsidRPr="00762649">
        <w:rPr>
          <w:rFonts w:ascii="Palatino Linotype" w:hAnsi="Palatino Linotype" w:cs="Arial"/>
          <w:sz w:val="24"/>
          <w:szCs w:val="24"/>
        </w:rPr>
        <w:t>se dé</w:t>
      </w:r>
      <w:r w:rsidR="00BC7E6A" w:rsidRPr="00762649">
        <w:rPr>
          <w:rFonts w:ascii="Palatino Linotype" w:hAnsi="Palatino Linotype" w:cs="Arial"/>
          <w:sz w:val="24"/>
          <w:szCs w:val="24"/>
        </w:rPr>
        <w:t xml:space="preserve"> cum</w:t>
      </w:r>
      <w:r w:rsidR="00D72D15" w:rsidRPr="00762649">
        <w:rPr>
          <w:rFonts w:ascii="Palatino Linotype" w:hAnsi="Palatino Linotype" w:cs="Arial"/>
          <w:sz w:val="24"/>
          <w:szCs w:val="24"/>
        </w:rPr>
        <w:t>plimiento al principio de</w:t>
      </w:r>
      <w:r w:rsidR="00BC7E6A" w:rsidRPr="00762649">
        <w:rPr>
          <w:rFonts w:ascii="Palatino Linotype" w:hAnsi="Palatino Linotype" w:cs="Arial"/>
          <w:sz w:val="24"/>
          <w:szCs w:val="24"/>
        </w:rPr>
        <w:t xml:space="preserve"> celeridad,</w:t>
      </w:r>
      <w:r w:rsidR="007477B8" w:rsidRPr="00762649">
        <w:rPr>
          <w:rFonts w:ascii="Palatino Linotype" w:hAnsi="Palatino Linotype" w:cs="Arial"/>
          <w:sz w:val="24"/>
          <w:szCs w:val="24"/>
        </w:rPr>
        <w:t xml:space="preserve"> </w:t>
      </w:r>
      <w:r w:rsidRPr="00762649">
        <w:rPr>
          <w:rFonts w:ascii="Palatino Linotype" w:hAnsi="Palatino Linotype" w:cs="Arial"/>
          <w:sz w:val="24"/>
          <w:szCs w:val="24"/>
        </w:rPr>
        <w:t xml:space="preserve">no obstante, </w:t>
      </w:r>
      <w:r w:rsidR="00BC7E6A" w:rsidRPr="00762649">
        <w:rPr>
          <w:rFonts w:ascii="Palatino Linotype" w:hAnsi="Palatino Linotype" w:cs="Arial"/>
          <w:sz w:val="24"/>
          <w:szCs w:val="24"/>
        </w:rPr>
        <w:t xml:space="preserve">se debe hacer saber al </w:t>
      </w:r>
      <w:r w:rsidR="007477B8" w:rsidRPr="00762649">
        <w:rPr>
          <w:rFonts w:ascii="Palatino Linotype" w:hAnsi="Palatino Linotype" w:cs="Arial"/>
          <w:b/>
          <w:sz w:val="24"/>
          <w:szCs w:val="24"/>
        </w:rPr>
        <w:t xml:space="preserve">SUJETO OBLIGADO </w:t>
      </w:r>
      <w:r w:rsidR="007477B8" w:rsidRPr="00762649">
        <w:rPr>
          <w:rFonts w:ascii="Palatino Linotype" w:hAnsi="Palatino Linotype" w:cs="Arial"/>
          <w:sz w:val="24"/>
          <w:szCs w:val="24"/>
        </w:rPr>
        <w:t xml:space="preserve">la responsabilidad que tiene como autoridad para atender y dar seguimiento a las solicitudes que formulen los particulares en pleno ejercicio al derecho constitucional y convencionalmente reconocido, observando </w:t>
      </w:r>
      <w:r w:rsidR="00BC7E6A" w:rsidRPr="00762649">
        <w:rPr>
          <w:rFonts w:ascii="Palatino Linotype" w:hAnsi="Palatino Linotype" w:cs="Arial"/>
          <w:sz w:val="24"/>
          <w:szCs w:val="24"/>
        </w:rPr>
        <w:t xml:space="preserve">cada uno de los pasos a seguir en el procedimiento para atender </w:t>
      </w:r>
      <w:r w:rsidR="007477B8" w:rsidRPr="00762649">
        <w:rPr>
          <w:rFonts w:ascii="Palatino Linotype" w:hAnsi="Palatino Linotype" w:cs="Arial"/>
          <w:sz w:val="24"/>
          <w:szCs w:val="24"/>
        </w:rPr>
        <w:t xml:space="preserve">oportunamente </w:t>
      </w:r>
      <w:r w:rsidR="00BC7E6A" w:rsidRPr="00762649">
        <w:rPr>
          <w:rFonts w:ascii="Palatino Linotype" w:hAnsi="Palatino Linotype" w:cs="Arial"/>
          <w:sz w:val="24"/>
          <w:szCs w:val="24"/>
        </w:rPr>
        <w:t>la</w:t>
      </w:r>
      <w:r w:rsidR="007477B8" w:rsidRPr="00762649">
        <w:rPr>
          <w:rFonts w:ascii="Palatino Linotype" w:hAnsi="Palatino Linotype" w:cs="Arial"/>
          <w:sz w:val="24"/>
          <w:szCs w:val="24"/>
        </w:rPr>
        <w:t>s</w:t>
      </w:r>
      <w:r w:rsidR="00BC7E6A" w:rsidRPr="00762649">
        <w:rPr>
          <w:rFonts w:ascii="Palatino Linotype" w:hAnsi="Palatino Linotype" w:cs="Arial"/>
          <w:sz w:val="24"/>
          <w:szCs w:val="24"/>
        </w:rPr>
        <w:t xml:space="preserve"> solicitud</w:t>
      </w:r>
      <w:r w:rsidR="007477B8" w:rsidRPr="00762649">
        <w:rPr>
          <w:rFonts w:ascii="Palatino Linotype" w:hAnsi="Palatino Linotype" w:cs="Arial"/>
          <w:sz w:val="24"/>
          <w:szCs w:val="24"/>
        </w:rPr>
        <w:t>es</w:t>
      </w:r>
      <w:r w:rsidR="00BC7E6A" w:rsidRPr="00762649">
        <w:rPr>
          <w:rFonts w:ascii="Palatino Linotype" w:hAnsi="Palatino Linotype" w:cs="Arial"/>
          <w:sz w:val="24"/>
          <w:szCs w:val="24"/>
        </w:rPr>
        <w:t xml:space="preserve"> de</w:t>
      </w:r>
      <w:r w:rsidR="007477B8" w:rsidRPr="00762649">
        <w:rPr>
          <w:rFonts w:ascii="Palatino Linotype" w:hAnsi="Palatino Linotype" w:cs="Arial"/>
          <w:sz w:val="24"/>
          <w:szCs w:val="24"/>
        </w:rPr>
        <w:t xml:space="preserve"> acceso a la</w:t>
      </w:r>
      <w:r w:rsidR="00BC7E6A" w:rsidRPr="00762649">
        <w:rPr>
          <w:rFonts w:ascii="Palatino Linotype" w:hAnsi="Palatino Linotype" w:cs="Arial"/>
          <w:sz w:val="24"/>
          <w:szCs w:val="24"/>
        </w:rPr>
        <w:t xml:space="preserve"> información, ya que de lo contrario, en forma reiterada sucederá lo ocurrido en el presente asunto y esto implica </w:t>
      </w:r>
      <w:r w:rsidR="00602A7F" w:rsidRPr="00762649">
        <w:rPr>
          <w:rFonts w:ascii="Palatino Linotype" w:hAnsi="Palatino Linotype" w:cs="Arial"/>
          <w:sz w:val="24"/>
          <w:szCs w:val="24"/>
        </w:rPr>
        <w:t xml:space="preserve">que </w:t>
      </w:r>
      <w:r w:rsidR="00BC7E6A" w:rsidRPr="00762649">
        <w:rPr>
          <w:rFonts w:ascii="Palatino Linotype" w:hAnsi="Palatino Linotype" w:cs="Arial"/>
          <w:sz w:val="24"/>
          <w:szCs w:val="24"/>
        </w:rPr>
        <w:t xml:space="preserve">no se de cabal cumplimiento a los principios, bases y procedimientos, establecidos en la Ley de la materia, encaminados a tutelar y garantizar el Derecho de Acceso a la Información Pública. </w:t>
      </w:r>
    </w:p>
    <w:p w:rsidR="00602A7F" w:rsidRDefault="00602A7F" w:rsidP="00602A7F">
      <w:pPr>
        <w:pStyle w:val="Prrafodelista"/>
        <w:rPr>
          <w:rFonts w:ascii="Palatino Linotype" w:hAnsi="Palatino Linotype" w:cs="Arial"/>
          <w:sz w:val="24"/>
          <w:szCs w:val="24"/>
        </w:rPr>
      </w:pPr>
    </w:p>
    <w:p w:rsidR="00BC7E6A" w:rsidRPr="00CD65AA" w:rsidRDefault="007477B8" w:rsidP="00CD65AA">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lastRenderedPageBreak/>
        <w:t xml:space="preserve">Cabe hacer énfasis que la </w:t>
      </w:r>
      <w:r w:rsidR="00602A7F">
        <w:rPr>
          <w:rFonts w:ascii="Palatino Linotype" w:hAnsi="Palatino Linotype" w:cs="Arial"/>
          <w:sz w:val="24"/>
          <w:szCs w:val="24"/>
        </w:rPr>
        <w:t xml:space="preserve">suplencia </w:t>
      </w:r>
      <w:r>
        <w:rPr>
          <w:rFonts w:ascii="Palatino Linotype" w:hAnsi="Palatino Linotype" w:cs="Arial"/>
          <w:sz w:val="24"/>
          <w:szCs w:val="24"/>
        </w:rPr>
        <w:t xml:space="preserve">realizada a la deficiencia del Sujeto Obligado contradice </w:t>
      </w:r>
      <w:r w:rsidR="00C91DDB">
        <w:rPr>
          <w:rFonts w:ascii="Palatino Linotype" w:hAnsi="Palatino Linotype" w:cs="Arial"/>
          <w:sz w:val="24"/>
          <w:szCs w:val="24"/>
        </w:rPr>
        <w:t>los principios rectores del derecho al acceso a la informaci</w:t>
      </w:r>
      <w:r w:rsidR="00CD65AA">
        <w:rPr>
          <w:rFonts w:ascii="Palatino Linotype" w:hAnsi="Palatino Linotype" w:cs="Arial"/>
          <w:sz w:val="24"/>
          <w:szCs w:val="24"/>
        </w:rPr>
        <w:t xml:space="preserve">ón y lo que establece la </w:t>
      </w:r>
      <w:r w:rsidR="00C91DDB">
        <w:rPr>
          <w:rFonts w:ascii="Palatino Linotype" w:hAnsi="Palatino Linotype" w:cs="Arial"/>
          <w:sz w:val="24"/>
          <w:szCs w:val="24"/>
        </w:rPr>
        <w:t>Comisión Int</w:t>
      </w:r>
      <w:r w:rsidR="00CD65AA">
        <w:rPr>
          <w:rFonts w:ascii="Palatino Linotype" w:hAnsi="Palatino Linotype" w:cs="Arial"/>
          <w:sz w:val="24"/>
          <w:szCs w:val="24"/>
        </w:rPr>
        <w:t xml:space="preserve">eramericana de Derechos Humanos, siendo que </w:t>
      </w:r>
      <w:r w:rsidR="00C91DDB">
        <w:rPr>
          <w:rFonts w:ascii="Palatino Linotype" w:hAnsi="Palatino Linotype" w:cs="Arial"/>
          <w:sz w:val="24"/>
          <w:szCs w:val="24"/>
        </w:rPr>
        <w:t xml:space="preserve">los sujetos obligados tienen </w:t>
      </w:r>
      <w:r w:rsidR="00C91DDB" w:rsidRPr="00C91DDB">
        <w:rPr>
          <w:rFonts w:ascii="Palatino Linotype" w:hAnsi="Palatino Linotype" w:cs="Arial"/>
          <w:i/>
          <w:szCs w:val="24"/>
        </w:rPr>
        <w:t xml:space="preserve">“la obligación de responder sustancialmente a las solicitudes </w:t>
      </w:r>
      <w:r w:rsidR="004C6910" w:rsidRPr="00C91DDB">
        <w:rPr>
          <w:rFonts w:ascii="Palatino Linotype" w:hAnsi="Palatino Linotype"/>
          <w:i/>
        </w:rPr>
        <w:t>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004C6910">
        <w:rPr>
          <w:rStyle w:val="Refdenotaalpie"/>
          <w:rFonts w:ascii="Palatino Linotype" w:eastAsia="Times New Roman" w:hAnsi="Palatino Linotype" w:cs="Arial"/>
          <w:lang w:val="es-ES"/>
        </w:rPr>
        <w:footnoteReference w:id="9"/>
      </w:r>
      <w:r w:rsidR="00CD65AA">
        <w:rPr>
          <w:rFonts w:ascii="Palatino Linotype" w:hAnsi="Palatino Linotype"/>
          <w:i/>
        </w:rPr>
        <w:t xml:space="preserve">. </w:t>
      </w:r>
      <w:r w:rsidR="00CD65AA" w:rsidRPr="00CD65AA">
        <w:rPr>
          <w:rFonts w:ascii="Palatino Linotype" w:hAnsi="Palatino Linotype"/>
        </w:rPr>
        <w:t>Es as</w:t>
      </w:r>
      <w:r w:rsidR="00CD65AA">
        <w:rPr>
          <w:rFonts w:ascii="Palatino Linotype" w:hAnsi="Palatino Linotype"/>
        </w:rPr>
        <w:t>í</w:t>
      </w:r>
      <w:r w:rsidR="00C91DDB">
        <w:rPr>
          <w:rFonts w:ascii="Palatino Linotype" w:hAnsi="Palatino Linotype"/>
        </w:rPr>
        <w:t xml:space="preserve"> que se </w:t>
      </w:r>
      <w:r w:rsidR="00BC7E6A" w:rsidRPr="00C91DDB">
        <w:rPr>
          <w:rFonts w:ascii="Palatino Linotype" w:hAnsi="Palatino Linotype" w:cs="Arial"/>
          <w:sz w:val="24"/>
          <w:szCs w:val="24"/>
        </w:rPr>
        <w:t>debe tener especial cuidado al momento de responder a una</w:t>
      </w:r>
      <w:r w:rsidR="00CD65AA">
        <w:rPr>
          <w:rFonts w:ascii="Palatino Linotype" w:hAnsi="Palatino Linotype" w:cs="Arial"/>
          <w:sz w:val="24"/>
          <w:szCs w:val="24"/>
        </w:rPr>
        <w:t xml:space="preserve"> solicitud, debiendo seguir paso a paso el procedimiento previamente establecido para tal efecto,</w:t>
      </w:r>
      <w:r w:rsidR="00BC7E6A" w:rsidRPr="00CD65AA">
        <w:rPr>
          <w:rFonts w:ascii="Palatino Linotype" w:hAnsi="Palatino Linotype" w:cs="Arial"/>
          <w:sz w:val="24"/>
          <w:szCs w:val="24"/>
        </w:rPr>
        <w:t xml:space="preserve"> y de esta forma dar conclusión al procedimiento de acceso a la información pública</w:t>
      </w:r>
      <w:r w:rsidR="00CD65AA">
        <w:rPr>
          <w:rFonts w:ascii="Palatino Linotype" w:hAnsi="Palatino Linotype" w:cs="Arial"/>
          <w:sz w:val="24"/>
          <w:szCs w:val="24"/>
        </w:rPr>
        <w:t xml:space="preserve">, mismo que concluye cuando el recurrente tenga a su disposición </w:t>
      </w:r>
      <w:r w:rsidR="00BC7E6A" w:rsidRPr="00CD65AA">
        <w:rPr>
          <w:rFonts w:ascii="Palatino Linotype" w:hAnsi="Palatino Linotype" w:cs="Arial"/>
          <w:sz w:val="24"/>
          <w:szCs w:val="24"/>
        </w:rPr>
        <w:t xml:space="preserve">la información requerida. </w:t>
      </w:r>
    </w:p>
    <w:p w:rsidR="00CD766A" w:rsidRDefault="00CD766A" w:rsidP="00CD766A">
      <w:pPr>
        <w:pStyle w:val="Prrafodelista"/>
        <w:spacing w:after="0" w:line="360" w:lineRule="auto"/>
        <w:ind w:left="0"/>
        <w:jc w:val="both"/>
        <w:rPr>
          <w:rFonts w:ascii="Palatino Linotype" w:hAnsi="Palatino Linotype" w:cs="Arial"/>
          <w:sz w:val="24"/>
          <w:szCs w:val="24"/>
        </w:rPr>
      </w:pPr>
    </w:p>
    <w:p w:rsidR="0025332E" w:rsidRDefault="0025332E" w:rsidP="0025332E">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C</w:t>
      </w:r>
      <w:r w:rsidR="00CD766A" w:rsidRPr="00660259">
        <w:rPr>
          <w:rFonts w:ascii="Palatino Linotype" w:hAnsi="Palatino Linotype" w:cs="Arial"/>
          <w:sz w:val="24"/>
          <w:szCs w:val="24"/>
        </w:rPr>
        <w:t xml:space="preserve">onsidero firmemente que el hecho de que el procedimiento de acceso a la información sea la garantía primaria para tutelar el derecho en cuestión, y se rija bajo los principios de </w:t>
      </w:r>
      <w:r>
        <w:rPr>
          <w:rFonts w:ascii="Palatino Linotype" w:hAnsi="Palatino Linotype" w:cs="Arial"/>
          <w:sz w:val="24"/>
          <w:szCs w:val="24"/>
        </w:rPr>
        <w:t xml:space="preserve">simplicidad, </w:t>
      </w:r>
      <w:r w:rsidR="00CD766A" w:rsidRPr="00660259">
        <w:rPr>
          <w:rFonts w:ascii="Palatino Linotype" w:hAnsi="Palatino Linotype" w:cs="Arial"/>
          <w:sz w:val="24"/>
          <w:szCs w:val="24"/>
        </w:rPr>
        <w:t>rapidez y gratuidad</w:t>
      </w:r>
      <w:r w:rsidR="00CD766A">
        <w:rPr>
          <w:rStyle w:val="Refdenotaalpie"/>
          <w:rFonts w:ascii="Palatino Linotype" w:hAnsi="Palatino Linotype" w:cs="Arial"/>
          <w:sz w:val="24"/>
          <w:szCs w:val="24"/>
        </w:rPr>
        <w:footnoteReference w:id="10"/>
      </w:r>
      <w:r w:rsidR="00660259" w:rsidRPr="00660259">
        <w:rPr>
          <w:rFonts w:ascii="Palatino Linotype" w:hAnsi="Palatino Linotype" w:cs="Arial"/>
          <w:sz w:val="24"/>
          <w:szCs w:val="24"/>
        </w:rPr>
        <w:t xml:space="preserve"> no establece la obligación del Instituto a actuar con exceso en la suplencia sobre las deficiencias generadas durante la sustanciación del recurso de revisión</w:t>
      </w:r>
      <w:r w:rsidR="002D5499">
        <w:rPr>
          <w:rFonts w:ascii="Palatino Linotype" w:hAnsi="Palatino Linotype" w:cs="Arial"/>
          <w:sz w:val="24"/>
          <w:szCs w:val="24"/>
        </w:rPr>
        <w:t>.</w:t>
      </w:r>
      <w:r w:rsidR="00660259">
        <w:rPr>
          <w:rFonts w:ascii="Palatino Linotype" w:hAnsi="Palatino Linotype" w:cs="Arial"/>
          <w:sz w:val="24"/>
          <w:szCs w:val="24"/>
        </w:rPr>
        <w:t xml:space="preserve"> </w:t>
      </w:r>
      <w:r w:rsidR="002D5499">
        <w:rPr>
          <w:rFonts w:ascii="Palatino Linotype" w:hAnsi="Palatino Linotype" w:cs="Arial"/>
          <w:sz w:val="24"/>
          <w:szCs w:val="24"/>
        </w:rPr>
        <w:t>B</w:t>
      </w:r>
      <w:r w:rsidR="00660259">
        <w:rPr>
          <w:rFonts w:ascii="Palatino Linotype" w:hAnsi="Palatino Linotype" w:cs="Arial"/>
          <w:sz w:val="24"/>
          <w:szCs w:val="24"/>
        </w:rPr>
        <w:t>ajo dicha aseveración, tengo la certeza de que el actuar de la ponencia es con único fin de brindar un pro</w:t>
      </w:r>
      <w:r w:rsidR="002D5499">
        <w:rPr>
          <w:rFonts w:ascii="Palatino Linotype" w:hAnsi="Palatino Linotype" w:cs="Arial"/>
          <w:sz w:val="24"/>
          <w:szCs w:val="24"/>
        </w:rPr>
        <w:t xml:space="preserve">cedimiento expedito </w:t>
      </w:r>
      <w:r w:rsidR="002D5499">
        <w:rPr>
          <w:rFonts w:ascii="Palatino Linotype" w:hAnsi="Palatino Linotype" w:cs="Arial"/>
          <w:sz w:val="24"/>
          <w:szCs w:val="24"/>
        </w:rPr>
        <w:lastRenderedPageBreak/>
        <w:t>y sencillo, para así</w:t>
      </w:r>
      <w:r w:rsidR="00660259">
        <w:rPr>
          <w:rFonts w:ascii="Palatino Linotype" w:hAnsi="Palatino Linotype" w:cs="Arial"/>
          <w:sz w:val="24"/>
          <w:szCs w:val="24"/>
        </w:rPr>
        <w:t xml:space="preserve"> dar cabal cumplimiento al derecho ejercido por la recurrente</w:t>
      </w:r>
      <w:r w:rsidR="002D5499">
        <w:rPr>
          <w:rFonts w:ascii="Palatino Linotype" w:hAnsi="Palatino Linotype" w:cs="Arial"/>
          <w:sz w:val="24"/>
          <w:szCs w:val="24"/>
        </w:rPr>
        <w:t xml:space="preserve"> en el menor tiempo posible</w:t>
      </w:r>
      <w:r w:rsidR="00660259">
        <w:rPr>
          <w:rFonts w:ascii="Palatino Linotype" w:hAnsi="Palatino Linotype" w:cs="Arial"/>
          <w:sz w:val="24"/>
          <w:szCs w:val="24"/>
        </w:rPr>
        <w:t xml:space="preserve">, sin embargo, al realizar una suplencia como la que se llevó a cabo en el presente caso que hoy nos ocupa, nosotros como Órgano Garante del derecho al acceso a la información, estaríamos consintiendo el mal actuar del Sujeto Obligado </w:t>
      </w:r>
      <w:r w:rsidR="002D5499">
        <w:rPr>
          <w:rFonts w:ascii="Palatino Linotype" w:hAnsi="Palatino Linotype" w:cs="Arial"/>
          <w:sz w:val="24"/>
          <w:szCs w:val="24"/>
        </w:rPr>
        <w:t>quien, como se ha dicho, se encuentra constreñido en</w:t>
      </w:r>
      <w:r w:rsidR="00660259">
        <w:rPr>
          <w:rFonts w:ascii="Palatino Linotype" w:hAnsi="Palatino Linotype" w:cs="Arial"/>
          <w:sz w:val="24"/>
          <w:szCs w:val="24"/>
        </w:rPr>
        <w:t xml:space="preserve"> atender de manera comple</w:t>
      </w:r>
      <w:r w:rsidR="002D5499">
        <w:rPr>
          <w:rFonts w:ascii="Palatino Linotype" w:hAnsi="Palatino Linotype" w:cs="Arial"/>
          <w:sz w:val="24"/>
          <w:szCs w:val="24"/>
        </w:rPr>
        <w:t>t</w:t>
      </w:r>
      <w:r w:rsidR="00660259">
        <w:rPr>
          <w:rFonts w:ascii="Palatino Linotype" w:hAnsi="Palatino Linotype" w:cs="Arial"/>
          <w:sz w:val="24"/>
          <w:szCs w:val="24"/>
        </w:rPr>
        <w:t xml:space="preserve">a y oportuna las solicitudes que ante él se formulen, lo que en consecuencia puede provocar, que en futuras solicitudes de información y recursos </w:t>
      </w:r>
      <w:r w:rsidR="002D5499">
        <w:rPr>
          <w:rFonts w:ascii="Palatino Linotype" w:hAnsi="Palatino Linotype" w:cs="Arial"/>
          <w:sz w:val="24"/>
          <w:szCs w:val="24"/>
        </w:rPr>
        <w:t xml:space="preserve">de revisión, </w:t>
      </w:r>
      <w:r w:rsidR="00660259">
        <w:rPr>
          <w:rFonts w:ascii="Palatino Linotype" w:hAnsi="Palatino Linotype" w:cs="Arial"/>
          <w:sz w:val="24"/>
          <w:szCs w:val="24"/>
        </w:rPr>
        <w:t xml:space="preserve">el Sujeto Obligado se limite </w:t>
      </w:r>
      <w:r w:rsidR="002D5499">
        <w:rPr>
          <w:rFonts w:ascii="Palatino Linotype" w:hAnsi="Palatino Linotype" w:cs="Arial"/>
          <w:sz w:val="24"/>
          <w:szCs w:val="24"/>
        </w:rPr>
        <w:t xml:space="preserve">solamente </w:t>
      </w:r>
      <w:r w:rsidR="00660259">
        <w:rPr>
          <w:rFonts w:ascii="Palatino Linotype" w:hAnsi="Palatino Linotype" w:cs="Arial"/>
          <w:sz w:val="24"/>
          <w:szCs w:val="24"/>
        </w:rPr>
        <w:t>a entregar parte de lo solicitado, considerando que este Instituto realizará la debida suplencia para garantizar el cabal cumplimiento</w:t>
      </w:r>
      <w:r>
        <w:rPr>
          <w:rFonts w:ascii="Palatino Linotype" w:hAnsi="Palatino Linotype" w:cs="Arial"/>
          <w:sz w:val="24"/>
          <w:szCs w:val="24"/>
        </w:rPr>
        <w:t xml:space="preserve"> del derecho de los accionantes.</w:t>
      </w:r>
    </w:p>
    <w:p w:rsidR="0025332E" w:rsidRDefault="0025332E" w:rsidP="0025332E">
      <w:pPr>
        <w:pStyle w:val="Prrafodelista"/>
        <w:spacing w:after="0" w:line="360" w:lineRule="auto"/>
        <w:ind w:left="0"/>
        <w:jc w:val="both"/>
        <w:rPr>
          <w:rFonts w:ascii="Palatino Linotype" w:hAnsi="Palatino Linotype" w:cs="Arial"/>
          <w:sz w:val="24"/>
          <w:szCs w:val="24"/>
        </w:rPr>
      </w:pPr>
    </w:p>
    <w:p w:rsidR="0025332E" w:rsidRDefault="0025332E" w:rsidP="0025332E">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Asimismo, en el presente caso en particular no se comparte que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haya realizado la suplencia a la deficiencia del Sujeto Obligado, toda vez que si bien es cierto da rapidez </w:t>
      </w:r>
      <w:r w:rsidR="00771F1D">
        <w:rPr>
          <w:rFonts w:ascii="Palatino Linotype" w:hAnsi="Palatino Linotype" w:cs="Arial"/>
          <w:sz w:val="24"/>
          <w:szCs w:val="24"/>
        </w:rPr>
        <w:t xml:space="preserve">y celeridad </w:t>
      </w:r>
      <w:r>
        <w:rPr>
          <w:rFonts w:ascii="Palatino Linotype" w:hAnsi="Palatino Linotype" w:cs="Arial"/>
          <w:sz w:val="24"/>
          <w:szCs w:val="24"/>
        </w:rPr>
        <w:t>al procedimiento, pero también es cierto que  existen más requerimientos que no fueron colmados, en consecuencia, se tiene que el derecho de acceso a la información que ejerció el particular se encuentra afectado y quien tiene el deber de reparar cualquier posible afectación es el Sujeto Obligado</w:t>
      </w:r>
      <w:r w:rsidR="00771F1D">
        <w:rPr>
          <w:rFonts w:ascii="Palatino Linotype" w:hAnsi="Palatino Linotype" w:cs="Arial"/>
          <w:sz w:val="24"/>
          <w:szCs w:val="24"/>
        </w:rPr>
        <w:t xml:space="preserve"> conforme a lo estipulado en el artículo 176 de la Ley de Transparencia y Acceso a la Información Pública del Estado de México y Municipios</w:t>
      </w:r>
      <w:r>
        <w:rPr>
          <w:rFonts w:ascii="Palatino Linotype" w:hAnsi="Palatino Linotype" w:cs="Arial"/>
          <w:sz w:val="24"/>
          <w:szCs w:val="24"/>
        </w:rPr>
        <w:t xml:space="preserve">, mas no este Órgano Garante, </w:t>
      </w:r>
      <w:r w:rsidR="00771F1D">
        <w:rPr>
          <w:rFonts w:ascii="Palatino Linotype" w:hAnsi="Palatino Linotype" w:cs="Arial"/>
          <w:sz w:val="24"/>
          <w:szCs w:val="24"/>
        </w:rPr>
        <w:t xml:space="preserve">puesto que </w:t>
      </w:r>
      <w:r>
        <w:rPr>
          <w:rFonts w:ascii="Palatino Linotype" w:hAnsi="Palatino Linotype" w:cs="Arial"/>
          <w:sz w:val="24"/>
          <w:szCs w:val="24"/>
        </w:rPr>
        <w:t xml:space="preserve">este último se limita a garantizar el cumplimiento </w:t>
      </w:r>
      <w:r w:rsidR="00771F1D">
        <w:rPr>
          <w:rFonts w:ascii="Palatino Linotype" w:hAnsi="Palatino Linotype" w:cs="Arial"/>
          <w:sz w:val="24"/>
          <w:szCs w:val="24"/>
        </w:rPr>
        <w:t xml:space="preserve">al derecho de acceso a la información, </w:t>
      </w:r>
      <w:r>
        <w:rPr>
          <w:rFonts w:ascii="Palatino Linotype" w:hAnsi="Palatino Linotype" w:cs="Arial"/>
          <w:sz w:val="24"/>
          <w:szCs w:val="24"/>
        </w:rPr>
        <w:t xml:space="preserve">mas no </w:t>
      </w:r>
      <w:r w:rsidR="00771F1D">
        <w:rPr>
          <w:rFonts w:ascii="Palatino Linotype" w:hAnsi="Palatino Linotype" w:cs="Arial"/>
          <w:sz w:val="24"/>
          <w:szCs w:val="24"/>
        </w:rPr>
        <w:t xml:space="preserve">tiene la obligación de atender los requerimientos planteados por los particulares, y más aún si los Sujetos Obligados </w:t>
      </w:r>
      <w:r w:rsidR="00771F1D">
        <w:rPr>
          <w:rFonts w:ascii="Palatino Linotype" w:hAnsi="Palatino Linotype" w:cs="Arial"/>
          <w:sz w:val="24"/>
          <w:szCs w:val="24"/>
        </w:rPr>
        <w:lastRenderedPageBreak/>
        <w:t>faltan al cumplimiento de sus obligaciones, como lo es el caso en particular que se muestra una omisión por atender las solicitudes de acceso a la información.</w:t>
      </w:r>
    </w:p>
    <w:p w:rsidR="004074C0" w:rsidRDefault="00F7333F" w:rsidP="00540F78">
      <w:pPr>
        <w:pStyle w:val="Ttulo1"/>
        <w:numPr>
          <w:ilvl w:val="0"/>
          <w:numId w:val="37"/>
        </w:numPr>
      </w:pPr>
      <w:r w:rsidRPr="00F7333F">
        <w:t xml:space="preserve"> </w:t>
      </w:r>
      <w:bookmarkStart w:id="4" w:name="_Toc527987677"/>
      <w:r w:rsidRPr="00F7333F">
        <w:t>Conclusión.</w:t>
      </w:r>
      <w:bookmarkEnd w:id="4"/>
    </w:p>
    <w:p w:rsidR="00771F1D" w:rsidRPr="004074C0" w:rsidRDefault="00771F1D" w:rsidP="004074C0"/>
    <w:p w:rsidR="00CD766A" w:rsidRPr="00660259" w:rsidRDefault="0069542E" w:rsidP="007C66D3">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Si bien, l</w:t>
      </w:r>
      <w:r w:rsidR="009F7767">
        <w:rPr>
          <w:rFonts w:ascii="Palatino Linotype" w:hAnsi="Palatino Linotype" w:cs="Arial"/>
          <w:sz w:val="24"/>
          <w:szCs w:val="24"/>
        </w:rPr>
        <w:t xml:space="preserve">a suplencia a </w:t>
      </w:r>
      <w:r>
        <w:rPr>
          <w:rFonts w:ascii="Palatino Linotype" w:hAnsi="Palatino Linotype" w:cs="Arial"/>
          <w:sz w:val="24"/>
          <w:szCs w:val="24"/>
        </w:rPr>
        <w:t xml:space="preserve">las deficiencias incurridas por parte de los Sujetos Obligados ayudan a brindar un procedimiento expedito </w:t>
      </w:r>
      <w:r w:rsidR="009F7767">
        <w:rPr>
          <w:rFonts w:ascii="Palatino Linotype" w:hAnsi="Palatino Linotype" w:cs="Arial"/>
          <w:sz w:val="24"/>
          <w:szCs w:val="24"/>
        </w:rPr>
        <w:t xml:space="preserve">garantizando que se colme con el derecho de los particulares de </w:t>
      </w:r>
      <w:r w:rsidR="004074C0">
        <w:rPr>
          <w:rFonts w:ascii="Palatino Linotype" w:hAnsi="Palatino Linotype" w:cs="Arial"/>
          <w:sz w:val="24"/>
          <w:szCs w:val="24"/>
        </w:rPr>
        <w:t>manera correcta y completa en el</w:t>
      </w:r>
      <w:r w:rsidR="009F7767">
        <w:rPr>
          <w:rFonts w:ascii="Palatino Linotype" w:hAnsi="Palatino Linotype" w:cs="Arial"/>
          <w:sz w:val="24"/>
          <w:szCs w:val="24"/>
        </w:rPr>
        <w:t xml:space="preserve"> menor tiempo posible, resarciendo así, cualquier posible afectación que</w:t>
      </w:r>
      <w:r w:rsidR="004074C0">
        <w:rPr>
          <w:rFonts w:ascii="Palatino Linotype" w:hAnsi="Palatino Linotype" w:cs="Arial"/>
          <w:sz w:val="24"/>
          <w:szCs w:val="24"/>
        </w:rPr>
        <w:t xml:space="preserve"> se haya generado</w:t>
      </w:r>
      <w:r w:rsidR="009F7767">
        <w:rPr>
          <w:rFonts w:ascii="Palatino Linotype" w:hAnsi="Palatino Linotype" w:cs="Arial"/>
          <w:sz w:val="24"/>
          <w:szCs w:val="24"/>
        </w:rPr>
        <w:t xml:space="preserve"> mediante la respuesta a la solicitud</w:t>
      </w:r>
      <w:r w:rsidR="00A2127D">
        <w:rPr>
          <w:rFonts w:ascii="Palatino Linotype" w:hAnsi="Palatino Linotype" w:cs="Arial"/>
          <w:sz w:val="24"/>
          <w:szCs w:val="24"/>
        </w:rPr>
        <w:t>, sin embargo, da pie a que los Sujetos Obligados en procedimientos futuros, en respuesta a las solicitudes no brinden la información oportuna y completa, teniendo la certeza de que nosotros como Órgano Garante, supliremos las deficiencias suscitadas, provocando así, un daño mayor</w:t>
      </w:r>
      <w:r w:rsidR="0025332E">
        <w:rPr>
          <w:rFonts w:ascii="Palatino Linotype" w:hAnsi="Palatino Linotype" w:cs="Arial"/>
          <w:sz w:val="24"/>
          <w:szCs w:val="24"/>
        </w:rPr>
        <w:t xml:space="preserve"> al </w:t>
      </w:r>
      <w:r w:rsidR="00A2127D">
        <w:rPr>
          <w:rFonts w:ascii="Palatino Linotype" w:hAnsi="Palatino Linotype" w:cs="Arial"/>
          <w:sz w:val="24"/>
          <w:szCs w:val="24"/>
        </w:rPr>
        <w:t>be</w:t>
      </w:r>
      <w:r w:rsidR="00B06DD6">
        <w:rPr>
          <w:rFonts w:ascii="Palatino Linotype" w:hAnsi="Palatino Linotype" w:cs="Arial"/>
          <w:sz w:val="24"/>
          <w:szCs w:val="24"/>
        </w:rPr>
        <w:t>neficio que se pretende otorgar.</w:t>
      </w:r>
    </w:p>
    <w:p w:rsidR="00854553" w:rsidRDefault="00854553" w:rsidP="00CD766A">
      <w:pPr>
        <w:spacing w:after="0" w:line="360" w:lineRule="auto"/>
        <w:jc w:val="both"/>
        <w:rPr>
          <w:rFonts w:ascii="Palatino Linotype" w:hAnsi="Palatino Linotype" w:cs="Arial"/>
          <w:sz w:val="24"/>
          <w:szCs w:val="24"/>
        </w:rPr>
      </w:pPr>
    </w:p>
    <w:p w:rsidR="00E57EF9" w:rsidRDefault="00E57EF9" w:rsidP="00CD766A">
      <w:pPr>
        <w:spacing w:after="0" w:line="360" w:lineRule="auto"/>
        <w:jc w:val="both"/>
        <w:rPr>
          <w:rFonts w:ascii="Palatino Linotype" w:hAnsi="Palatino Linotype" w:cs="Arial"/>
          <w:sz w:val="24"/>
          <w:szCs w:val="24"/>
        </w:rPr>
      </w:pPr>
    </w:p>
    <w:p w:rsidR="00E57EF9" w:rsidRDefault="00E57EF9" w:rsidP="00CD766A">
      <w:pPr>
        <w:spacing w:after="0" w:line="360" w:lineRule="auto"/>
        <w:jc w:val="both"/>
        <w:rPr>
          <w:rFonts w:ascii="Palatino Linotype" w:hAnsi="Palatino Linotype" w:cs="Arial"/>
          <w:sz w:val="24"/>
          <w:szCs w:val="24"/>
        </w:rPr>
      </w:pPr>
    </w:p>
    <w:p w:rsidR="00E57EF9" w:rsidRPr="00CD766A" w:rsidRDefault="00E57EF9" w:rsidP="00CD766A">
      <w:pPr>
        <w:spacing w:after="0" w:line="360" w:lineRule="auto"/>
        <w:jc w:val="both"/>
        <w:rPr>
          <w:rFonts w:ascii="Palatino Linotype" w:hAnsi="Palatino Linotype" w:cs="Arial"/>
          <w:sz w:val="24"/>
          <w:szCs w:val="24"/>
        </w:rPr>
      </w:pPr>
    </w:p>
    <w:p w:rsidR="00625340" w:rsidRPr="001C3008" w:rsidRDefault="007A14A8"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J</w:t>
      </w:r>
      <w:r w:rsidR="00625340" w:rsidRPr="001C3008">
        <w:rPr>
          <w:rFonts w:ascii="Palatino Linotype" w:eastAsia="Calibri" w:hAnsi="Palatino Linotype" w:cs="Arial"/>
          <w:b/>
          <w:sz w:val="24"/>
          <w:szCs w:val="24"/>
        </w:rPr>
        <w:t>OSÉ GUADALUPE LUNA HERNÁNDEZ</w:t>
      </w:r>
    </w:p>
    <w:p w:rsidR="00625340" w:rsidRDefault="009749F9"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00625340" w:rsidRPr="001C3008">
        <w:rPr>
          <w:rFonts w:ascii="Palatino Linotype" w:eastAsia="Calibri" w:hAnsi="Palatino Linotype" w:cs="Arial"/>
          <w:b/>
          <w:sz w:val="24"/>
          <w:szCs w:val="24"/>
        </w:rPr>
        <w:t>OMISIONADO</w:t>
      </w:r>
    </w:p>
    <w:p w:rsidR="00DB6CC1" w:rsidRPr="00BD29B2" w:rsidRDefault="00DB6CC1" w:rsidP="00DB6CC1">
      <w:pPr>
        <w:spacing w:line="360" w:lineRule="auto"/>
      </w:pPr>
      <w:r>
        <w:rPr>
          <w:rFonts w:ascii="Palatino Linotype" w:eastAsia="Calibri" w:hAnsi="Palatino Linotype" w:cs="Arial"/>
          <w:b/>
          <w:sz w:val="24"/>
          <w:szCs w:val="24"/>
        </w:rPr>
        <w:t>JGLH/ADM</w:t>
      </w:r>
    </w:p>
    <w:sectPr w:rsidR="00DB6CC1" w:rsidRPr="00BD29B2"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D3C" w:rsidRDefault="00552D3C" w:rsidP="00DC559A">
      <w:pPr>
        <w:spacing w:after="0" w:line="240" w:lineRule="auto"/>
      </w:pPr>
      <w:r>
        <w:separator/>
      </w:r>
    </w:p>
  </w:endnote>
  <w:endnote w:type="continuationSeparator" w:id="0">
    <w:p w:rsidR="00552D3C" w:rsidRDefault="00552D3C"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E6A60">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E6A60">
              <w:rPr>
                <w:b/>
                <w:bCs/>
                <w:noProof/>
              </w:rPr>
              <w:t>18</w:t>
            </w:r>
            <w:r>
              <w:rPr>
                <w:b/>
                <w:bCs/>
                <w:sz w:val="24"/>
                <w:szCs w:val="24"/>
              </w:rPr>
              <w:fldChar w:fldCharType="end"/>
            </w:r>
          </w:p>
        </w:sdtContent>
      </w:sdt>
    </w:sdtContent>
  </w:sdt>
  <w:p w:rsidR="00951E8B" w:rsidRDefault="006E6A60"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D3C" w:rsidRDefault="00552D3C" w:rsidP="00DC559A">
      <w:pPr>
        <w:spacing w:after="0" w:line="240" w:lineRule="auto"/>
      </w:pPr>
      <w:r>
        <w:separator/>
      </w:r>
    </w:p>
  </w:footnote>
  <w:footnote w:type="continuationSeparator" w:id="0">
    <w:p w:rsidR="00552D3C" w:rsidRDefault="00552D3C" w:rsidP="00DC559A">
      <w:pPr>
        <w:spacing w:after="0" w:line="240" w:lineRule="auto"/>
      </w:pPr>
      <w:r>
        <w:continuationSeparator/>
      </w:r>
    </w:p>
  </w:footnote>
  <w:footnote w:id="1">
    <w:p w:rsidR="00BB759C" w:rsidRPr="00E31C02" w:rsidRDefault="00BB759C" w:rsidP="00BB759C">
      <w:pPr>
        <w:pStyle w:val="Textonotapie"/>
        <w:rPr>
          <w:rFonts w:ascii="Palatino Linotype" w:hAnsi="Palatino Linotype"/>
          <w:sz w:val="16"/>
          <w:szCs w:val="16"/>
        </w:rPr>
      </w:pPr>
      <w:r>
        <w:rPr>
          <w:rStyle w:val="Refdenotaalpie"/>
        </w:rPr>
        <w:footnoteRef/>
      </w:r>
      <w:r>
        <w:t xml:space="preserve"> </w:t>
      </w:r>
      <w:r w:rsidRPr="00E31C02">
        <w:rPr>
          <w:rFonts w:ascii="Palatino Linotype" w:hAnsi="Palatino Linotype"/>
          <w:sz w:val="16"/>
          <w:szCs w:val="16"/>
        </w:rPr>
        <w:t>Acta de Entrega y Recepción</w:t>
      </w:r>
      <w:r>
        <w:rPr>
          <w:rFonts w:ascii="Palatino Linotype" w:hAnsi="Palatino Linotype"/>
          <w:sz w:val="16"/>
          <w:szCs w:val="16"/>
        </w:rPr>
        <w:t xml:space="preserve">, de conformidad con el artículo 16 del </w:t>
      </w:r>
      <w:r w:rsidRPr="00E31C02">
        <w:rPr>
          <w:rFonts w:ascii="Palatino Linotype" w:hAnsi="Palatino Linotype"/>
          <w:sz w:val="16"/>
          <w:szCs w:val="16"/>
        </w:rPr>
        <w:t>Reglamento para la Entrega y Recepción de las Unidades Administrativas de la Administración Pública del Estado de</w:t>
      </w:r>
      <w:r>
        <w:rPr>
          <w:rFonts w:ascii="Palatino Linotype" w:hAnsi="Palatino Linotype"/>
          <w:sz w:val="16"/>
          <w:szCs w:val="16"/>
        </w:rPr>
        <w:t xml:space="preserve"> </w:t>
      </w:r>
      <w:r w:rsidRPr="00E31C02">
        <w:rPr>
          <w:rFonts w:ascii="Palatino Linotype" w:hAnsi="Palatino Linotype"/>
          <w:sz w:val="16"/>
          <w:szCs w:val="16"/>
        </w:rPr>
        <w:t>México</w:t>
      </w:r>
      <w:r>
        <w:rPr>
          <w:rFonts w:ascii="Palatino Linotype" w:hAnsi="Palatino Linotype"/>
          <w:sz w:val="16"/>
          <w:szCs w:val="16"/>
        </w:rPr>
        <w:t>.</w:t>
      </w:r>
    </w:p>
  </w:footnote>
  <w:footnote w:id="2">
    <w:p w:rsidR="00BB759C" w:rsidRDefault="00BB759C" w:rsidP="00BB759C">
      <w:pPr>
        <w:pStyle w:val="Textonotapie"/>
      </w:pPr>
      <w:r>
        <w:rPr>
          <w:rStyle w:val="Refdenotaalpie"/>
        </w:rPr>
        <w:footnoteRef/>
      </w:r>
      <w:r>
        <w:t xml:space="preserve"> </w:t>
      </w:r>
      <w:r w:rsidRPr="00141AD3">
        <w:rPr>
          <w:rFonts w:ascii="Palatino Linotype" w:hAnsi="Palatino Linotype"/>
          <w:sz w:val="16"/>
          <w:szCs w:val="16"/>
        </w:rPr>
        <w:t>Auditoria Superior de la Federación</w:t>
      </w:r>
      <w:r>
        <w:rPr>
          <w:rFonts w:ascii="Palatino Linotype" w:hAnsi="Palatino Linotype"/>
          <w:sz w:val="16"/>
          <w:szCs w:val="16"/>
        </w:rPr>
        <w:t>.</w:t>
      </w:r>
    </w:p>
  </w:footnote>
  <w:footnote w:id="3">
    <w:p w:rsidR="00BB759C" w:rsidRDefault="00BB759C" w:rsidP="00BB759C">
      <w:pPr>
        <w:pStyle w:val="Textonotapie"/>
      </w:pPr>
      <w:r>
        <w:rPr>
          <w:rStyle w:val="Refdenotaalpie"/>
        </w:rPr>
        <w:footnoteRef/>
      </w:r>
      <w:r>
        <w:t xml:space="preserve"> </w:t>
      </w:r>
      <w:r w:rsidRPr="00141AD3">
        <w:rPr>
          <w:rFonts w:ascii="Palatino Linotype" w:hAnsi="Palatino Linotype"/>
          <w:sz w:val="16"/>
          <w:szCs w:val="16"/>
        </w:rPr>
        <w:t>Cuya denominación correcta es</w:t>
      </w:r>
      <w:r>
        <w:rPr>
          <w:rFonts w:ascii="Palatino Linotype" w:hAnsi="Palatino Linotype"/>
          <w:sz w:val="16"/>
          <w:szCs w:val="16"/>
        </w:rPr>
        <w:t>,</w:t>
      </w:r>
      <w:r w:rsidRPr="00141AD3">
        <w:rPr>
          <w:rFonts w:ascii="Palatino Linotype" w:hAnsi="Palatino Linotype"/>
          <w:sz w:val="16"/>
          <w:szCs w:val="16"/>
        </w:rPr>
        <w:t xml:space="preserve"> Órgano Superior de Fiscalización del Estado de México.</w:t>
      </w:r>
    </w:p>
  </w:footnote>
  <w:footnote w:id="4">
    <w:p w:rsidR="00BB759C" w:rsidRDefault="00BB759C" w:rsidP="00BB759C">
      <w:pPr>
        <w:pStyle w:val="Textonotapie"/>
      </w:pPr>
      <w:r>
        <w:rPr>
          <w:rStyle w:val="Refdenotaalpie"/>
        </w:rPr>
        <w:footnoteRef/>
      </w:r>
      <w:r>
        <w:t xml:space="preserve"> </w:t>
      </w:r>
      <w:r w:rsidRPr="001C50A3">
        <w:rPr>
          <w:rFonts w:ascii="Palatino Linotype" w:hAnsi="Palatino Linotype"/>
          <w:sz w:val="16"/>
          <w:szCs w:val="16"/>
        </w:rPr>
        <w:t>Fiscalía General de Justicia del Estado de México</w:t>
      </w:r>
      <w:r>
        <w:rPr>
          <w:rFonts w:ascii="Palatino Linotype" w:hAnsi="Palatino Linotype"/>
          <w:sz w:val="16"/>
          <w:szCs w:val="16"/>
        </w:rPr>
        <w:t>.</w:t>
      </w:r>
    </w:p>
  </w:footnote>
  <w:footnote w:id="5">
    <w:p w:rsidR="00BB759C" w:rsidRDefault="00BB759C" w:rsidP="00BB759C">
      <w:pPr>
        <w:pStyle w:val="Textonotapie"/>
      </w:pPr>
      <w:r>
        <w:rPr>
          <w:rStyle w:val="Refdenotaalpie"/>
        </w:rPr>
        <w:footnoteRef/>
      </w:r>
      <w:r>
        <w:t xml:space="preserve"> </w:t>
      </w:r>
      <w:r w:rsidRPr="001C50A3">
        <w:rPr>
          <w:rFonts w:ascii="Palatino Linotype" w:hAnsi="Palatino Linotype"/>
          <w:sz w:val="16"/>
          <w:szCs w:val="16"/>
        </w:rPr>
        <w:t>Procuraduría General de la República</w:t>
      </w:r>
      <w:r>
        <w:rPr>
          <w:rFonts w:ascii="Palatino Linotype" w:hAnsi="Palatino Linotype"/>
          <w:sz w:val="16"/>
          <w:szCs w:val="16"/>
        </w:rPr>
        <w:t xml:space="preserve">, pendiente de iniciar operaciones como </w:t>
      </w:r>
      <w:r w:rsidRPr="001C50A3">
        <w:rPr>
          <w:rFonts w:ascii="Palatino Linotype" w:hAnsi="Palatino Linotype"/>
          <w:sz w:val="16"/>
          <w:szCs w:val="16"/>
        </w:rPr>
        <w:t>Fiscalía General de la República (FGR)</w:t>
      </w:r>
      <w:r>
        <w:rPr>
          <w:rFonts w:ascii="Palatino Linotype" w:hAnsi="Palatino Linotype"/>
          <w:sz w:val="16"/>
          <w:szCs w:val="16"/>
        </w:rPr>
        <w:t>.</w:t>
      </w:r>
    </w:p>
  </w:footnote>
  <w:footnote w:id="6">
    <w:p w:rsidR="00BB759C" w:rsidRDefault="00BB759C" w:rsidP="00BB759C">
      <w:pPr>
        <w:pStyle w:val="Textonotapie"/>
      </w:pPr>
      <w:r>
        <w:rPr>
          <w:rStyle w:val="Refdenotaalpie"/>
        </w:rPr>
        <w:footnoteRef/>
      </w:r>
      <w:r>
        <w:t xml:space="preserve"> </w:t>
      </w:r>
      <w:r w:rsidRPr="001C50A3">
        <w:rPr>
          <w:rFonts w:ascii="Palatino Linotype" w:hAnsi="Palatino Linotype"/>
          <w:sz w:val="16"/>
          <w:szCs w:val="16"/>
        </w:rPr>
        <w:t>Grupo Aeroportuario de la Ciudad de México, S.A. de C.V.</w:t>
      </w:r>
    </w:p>
  </w:footnote>
  <w:footnote w:id="7">
    <w:p w:rsidR="00BB759C" w:rsidRPr="00885B79" w:rsidRDefault="00BB759C" w:rsidP="00BB759C">
      <w:pPr>
        <w:pStyle w:val="Textonotapie"/>
        <w:rPr>
          <w:rFonts w:ascii="Palatino Linotype" w:hAnsi="Palatino Linotype"/>
          <w:sz w:val="16"/>
          <w:szCs w:val="16"/>
        </w:rPr>
      </w:pPr>
      <w:r>
        <w:rPr>
          <w:rStyle w:val="Refdenotaalpie"/>
        </w:rPr>
        <w:footnoteRef/>
      </w:r>
      <w:r>
        <w:t xml:space="preserve"> </w:t>
      </w:r>
      <w:r w:rsidRPr="00507C28">
        <w:rPr>
          <w:rFonts w:ascii="Palatino Linotype" w:hAnsi="Palatino Linotype"/>
          <w:sz w:val="16"/>
          <w:szCs w:val="16"/>
        </w:rPr>
        <w:t>Base de datos que contiene la información de los servidores públicos que laboran en el sector central, y en el cual se registran los movimientos del personal</w:t>
      </w:r>
      <w:r>
        <w:rPr>
          <w:rFonts w:ascii="Palatino Linotype" w:hAnsi="Palatino Linotype"/>
          <w:sz w:val="16"/>
          <w:szCs w:val="16"/>
        </w:rPr>
        <w:t xml:space="preserve">, mismo que es operado por la </w:t>
      </w:r>
      <w:r w:rsidRPr="00885B79">
        <w:rPr>
          <w:rFonts w:ascii="Palatino Linotype" w:hAnsi="Palatino Linotype"/>
          <w:sz w:val="16"/>
          <w:szCs w:val="16"/>
        </w:rPr>
        <w:t>Secretaría de Finanzas</w:t>
      </w:r>
      <w:r>
        <w:rPr>
          <w:rFonts w:ascii="Palatino Linotype" w:hAnsi="Palatino Linotype"/>
          <w:sz w:val="16"/>
          <w:szCs w:val="16"/>
        </w:rPr>
        <w:t>.</w:t>
      </w:r>
    </w:p>
  </w:footnote>
  <w:footnote w:id="8">
    <w:p w:rsidR="00762649" w:rsidRDefault="00762649" w:rsidP="00762649">
      <w:pPr>
        <w:pStyle w:val="Textonotapie"/>
      </w:pPr>
      <w:r>
        <w:rPr>
          <w:rStyle w:val="Refdenotaalpie"/>
        </w:rPr>
        <w:footnoteRef/>
      </w:r>
      <w:r>
        <w:t xml:space="preserve"> </w:t>
      </w:r>
      <w:r w:rsidRPr="00536A9D">
        <w:rPr>
          <w:rFonts w:ascii="Palatino Linotype" w:hAnsi="Palatino Linotype"/>
          <w:sz w:val="16"/>
          <w:szCs w:val="16"/>
        </w:rPr>
        <w:t>http</w:t>
      </w:r>
      <w:proofErr w:type="gramStart"/>
      <w:r w:rsidRPr="00536A9D">
        <w:rPr>
          <w:rFonts w:ascii="Palatino Linotype" w:hAnsi="Palatino Linotype"/>
          <w:sz w:val="16"/>
          <w:szCs w:val="16"/>
        </w:rPr>
        <w:t>:/</w:t>
      </w:r>
      <w:proofErr w:type="gramEnd"/>
      <w:r w:rsidRPr="00536A9D">
        <w:rPr>
          <w:rFonts w:ascii="Palatino Linotype" w:hAnsi="Palatino Linotype"/>
          <w:sz w:val="16"/>
          <w:szCs w:val="16"/>
        </w:rPr>
        <w:t>/www.aeropuerto.gob.mx/quienes-somos.php</w:t>
      </w:r>
      <w:r>
        <w:rPr>
          <w:rFonts w:ascii="Palatino Linotype" w:hAnsi="Palatino Linotype"/>
          <w:sz w:val="16"/>
          <w:szCs w:val="16"/>
        </w:rPr>
        <w:t>, consultada el 8 de octubre de 2018.</w:t>
      </w:r>
    </w:p>
  </w:footnote>
  <w:footnote w:id="9">
    <w:p w:rsidR="004C6910" w:rsidRPr="00D45A90" w:rsidRDefault="004C6910" w:rsidP="004C6910">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10">
    <w:p w:rsidR="00CD766A" w:rsidRDefault="00CD766A">
      <w:pPr>
        <w:pStyle w:val="Textonotapie"/>
      </w:pPr>
      <w:r>
        <w:rPr>
          <w:rStyle w:val="Refdenotaalpie"/>
        </w:rPr>
        <w:footnoteRef/>
      </w:r>
      <w:r>
        <w:t xml:space="preserve"> </w:t>
      </w:r>
      <w:r w:rsidR="00660259">
        <w:t>Artículo 150,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E6A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E6A60">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6E6A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E6A6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6E24D2D"/>
    <w:multiLevelType w:val="hybridMultilevel"/>
    <w:tmpl w:val="0556F23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F1E3E"/>
    <w:multiLevelType w:val="hybridMultilevel"/>
    <w:tmpl w:val="F5EC0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5816EB"/>
    <w:multiLevelType w:val="hybridMultilevel"/>
    <w:tmpl w:val="105E5BAA"/>
    <w:lvl w:ilvl="0" w:tplc="12FE0568">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6D53B8"/>
    <w:multiLevelType w:val="hybridMultilevel"/>
    <w:tmpl w:val="88C44438"/>
    <w:lvl w:ilvl="0" w:tplc="3EFE09D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E575D9"/>
    <w:multiLevelType w:val="hybridMultilevel"/>
    <w:tmpl w:val="D2582708"/>
    <w:lvl w:ilvl="0" w:tplc="080A000B">
      <w:start w:val="1"/>
      <w:numFmt w:val="bullet"/>
      <w:lvlText w:val=""/>
      <w:lvlJc w:val="left"/>
      <w:pPr>
        <w:ind w:left="360" w:hanging="360"/>
      </w:pPr>
      <w:rPr>
        <w:rFonts w:ascii="Wingdings" w:hAnsi="Wingding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9A775E"/>
    <w:multiLevelType w:val="hybridMultilevel"/>
    <w:tmpl w:val="4030D592"/>
    <w:lvl w:ilvl="0" w:tplc="4AC6F410">
      <w:start w:val="8"/>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28A5684"/>
    <w:multiLevelType w:val="hybridMultilevel"/>
    <w:tmpl w:val="8456589E"/>
    <w:lvl w:ilvl="0" w:tplc="3A288B2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28"/>
  </w:num>
  <w:num w:numId="2">
    <w:abstractNumId w:val="4"/>
  </w:num>
  <w:num w:numId="3">
    <w:abstractNumId w:val="32"/>
  </w:num>
  <w:num w:numId="4">
    <w:abstractNumId w:val="16"/>
  </w:num>
  <w:num w:numId="5">
    <w:abstractNumId w:val="39"/>
  </w:num>
  <w:num w:numId="6">
    <w:abstractNumId w:val="17"/>
  </w:num>
  <w:num w:numId="7">
    <w:abstractNumId w:val="38"/>
  </w:num>
  <w:num w:numId="8">
    <w:abstractNumId w:val="35"/>
  </w:num>
  <w:num w:numId="9">
    <w:abstractNumId w:val="12"/>
  </w:num>
  <w:num w:numId="10">
    <w:abstractNumId w:val="9"/>
  </w:num>
  <w:num w:numId="11">
    <w:abstractNumId w:val="13"/>
  </w:num>
  <w:num w:numId="12">
    <w:abstractNumId w:val="21"/>
  </w:num>
  <w:num w:numId="13">
    <w:abstractNumId w:val="26"/>
  </w:num>
  <w:num w:numId="14">
    <w:abstractNumId w:val="36"/>
  </w:num>
  <w:num w:numId="15">
    <w:abstractNumId w:val="3"/>
  </w:num>
  <w:num w:numId="16">
    <w:abstractNumId w:val="27"/>
  </w:num>
  <w:num w:numId="17">
    <w:abstractNumId w:val="10"/>
  </w:num>
  <w:num w:numId="18">
    <w:abstractNumId w:val="42"/>
  </w:num>
  <w:num w:numId="19">
    <w:abstractNumId w:val="18"/>
  </w:num>
  <w:num w:numId="20">
    <w:abstractNumId w:val="37"/>
  </w:num>
  <w:num w:numId="21">
    <w:abstractNumId w:val="31"/>
  </w:num>
  <w:num w:numId="22">
    <w:abstractNumId w:val="34"/>
  </w:num>
  <w:num w:numId="23">
    <w:abstractNumId w:val="23"/>
  </w:num>
  <w:num w:numId="24">
    <w:abstractNumId w:val="6"/>
  </w:num>
  <w:num w:numId="25">
    <w:abstractNumId w:val="41"/>
  </w:num>
  <w:num w:numId="26">
    <w:abstractNumId w:val="33"/>
  </w:num>
  <w:num w:numId="27">
    <w:abstractNumId w:val="30"/>
  </w:num>
  <w:num w:numId="28">
    <w:abstractNumId w:val="0"/>
  </w:num>
  <w:num w:numId="29">
    <w:abstractNumId w:val="20"/>
  </w:num>
  <w:num w:numId="30">
    <w:abstractNumId w:val="22"/>
  </w:num>
  <w:num w:numId="31">
    <w:abstractNumId w:val="7"/>
  </w:num>
  <w:num w:numId="32">
    <w:abstractNumId w:val="15"/>
  </w:num>
  <w:num w:numId="33">
    <w:abstractNumId w:val="25"/>
  </w:num>
  <w:num w:numId="34">
    <w:abstractNumId w:val="24"/>
  </w:num>
  <w:num w:numId="35">
    <w:abstractNumId w:val="11"/>
  </w:num>
  <w:num w:numId="36">
    <w:abstractNumId w:val="2"/>
  </w:num>
  <w:num w:numId="37">
    <w:abstractNumId w:val="8"/>
  </w:num>
  <w:num w:numId="38">
    <w:abstractNumId w:val="40"/>
  </w:num>
  <w:num w:numId="39">
    <w:abstractNumId w:val="1"/>
  </w:num>
  <w:num w:numId="40">
    <w:abstractNumId w:val="5"/>
  </w:num>
  <w:num w:numId="41">
    <w:abstractNumId w:val="14"/>
  </w:num>
  <w:num w:numId="42">
    <w:abstractNumId w:val="1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556"/>
    <w:rsid w:val="00013F62"/>
    <w:rsid w:val="0002112E"/>
    <w:rsid w:val="000226DE"/>
    <w:rsid w:val="000227F4"/>
    <w:rsid w:val="00026199"/>
    <w:rsid w:val="0002684D"/>
    <w:rsid w:val="00037C7C"/>
    <w:rsid w:val="00064D2B"/>
    <w:rsid w:val="000A12BD"/>
    <w:rsid w:val="000D5811"/>
    <w:rsid w:val="000D79A0"/>
    <w:rsid w:val="000E43AB"/>
    <w:rsid w:val="000F4071"/>
    <w:rsid w:val="00123E1D"/>
    <w:rsid w:val="00134DA0"/>
    <w:rsid w:val="00141135"/>
    <w:rsid w:val="00145961"/>
    <w:rsid w:val="001620F1"/>
    <w:rsid w:val="00175E9F"/>
    <w:rsid w:val="00183A1B"/>
    <w:rsid w:val="00187E2D"/>
    <w:rsid w:val="001B2F10"/>
    <w:rsid w:val="001B78B7"/>
    <w:rsid w:val="001D09E6"/>
    <w:rsid w:val="001D465C"/>
    <w:rsid w:val="001F1A7A"/>
    <w:rsid w:val="00203EB6"/>
    <w:rsid w:val="0020553B"/>
    <w:rsid w:val="00220BB9"/>
    <w:rsid w:val="00225758"/>
    <w:rsid w:val="002376B4"/>
    <w:rsid w:val="0025332E"/>
    <w:rsid w:val="00260A10"/>
    <w:rsid w:val="00267F73"/>
    <w:rsid w:val="00274EF3"/>
    <w:rsid w:val="00284349"/>
    <w:rsid w:val="002948E5"/>
    <w:rsid w:val="002959E9"/>
    <w:rsid w:val="002B4023"/>
    <w:rsid w:val="002C430B"/>
    <w:rsid w:val="002D5499"/>
    <w:rsid w:val="002D63B3"/>
    <w:rsid w:val="00300947"/>
    <w:rsid w:val="00306AE2"/>
    <w:rsid w:val="00311D9E"/>
    <w:rsid w:val="00323DF8"/>
    <w:rsid w:val="00336BC3"/>
    <w:rsid w:val="00340665"/>
    <w:rsid w:val="0034151E"/>
    <w:rsid w:val="003431E5"/>
    <w:rsid w:val="0036287F"/>
    <w:rsid w:val="00384C92"/>
    <w:rsid w:val="00393382"/>
    <w:rsid w:val="0039566E"/>
    <w:rsid w:val="003B6EC6"/>
    <w:rsid w:val="003C35BC"/>
    <w:rsid w:val="003C7564"/>
    <w:rsid w:val="004074C0"/>
    <w:rsid w:val="00432104"/>
    <w:rsid w:val="00435284"/>
    <w:rsid w:val="004665BF"/>
    <w:rsid w:val="0048383C"/>
    <w:rsid w:val="004A69D6"/>
    <w:rsid w:val="004B4E07"/>
    <w:rsid w:val="004C273D"/>
    <w:rsid w:val="004C3125"/>
    <w:rsid w:val="004C6910"/>
    <w:rsid w:val="004C73FB"/>
    <w:rsid w:val="004D1010"/>
    <w:rsid w:val="004F3292"/>
    <w:rsid w:val="00517976"/>
    <w:rsid w:val="005429BB"/>
    <w:rsid w:val="00546237"/>
    <w:rsid w:val="005471F8"/>
    <w:rsid w:val="00552D3C"/>
    <w:rsid w:val="0056327C"/>
    <w:rsid w:val="00570DFF"/>
    <w:rsid w:val="00571B97"/>
    <w:rsid w:val="00585BED"/>
    <w:rsid w:val="0059666F"/>
    <w:rsid w:val="005A4257"/>
    <w:rsid w:val="005B54CA"/>
    <w:rsid w:val="005E6A45"/>
    <w:rsid w:val="005F53BB"/>
    <w:rsid w:val="00602A7F"/>
    <w:rsid w:val="00611AB9"/>
    <w:rsid w:val="006207D7"/>
    <w:rsid w:val="00623541"/>
    <w:rsid w:val="00625340"/>
    <w:rsid w:val="00660259"/>
    <w:rsid w:val="006773C0"/>
    <w:rsid w:val="00684D61"/>
    <w:rsid w:val="0069542E"/>
    <w:rsid w:val="006D22C2"/>
    <w:rsid w:val="006E4346"/>
    <w:rsid w:val="006E4EDC"/>
    <w:rsid w:val="006E6A60"/>
    <w:rsid w:val="006E7A8B"/>
    <w:rsid w:val="006F18A4"/>
    <w:rsid w:val="00703F02"/>
    <w:rsid w:val="0070418E"/>
    <w:rsid w:val="00712288"/>
    <w:rsid w:val="007477B8"/>
    <w:rsid w:val="00762649"/>
    <w:rsid w:val="00764FF6"/>
    <w:rsid w:val="007715FF"/>
    <w:rsid w:val="00771D7C"/>
    <w:rsid w:val="00771F1D"/>
    <w:rsid w:val="00781495"/>
    <w:rsid w:val="0078520D"/>
    <w:rsid w:val="0078690A"/>
    <w:rsid w:val="00797A7B"/>
    <w:rsid w:val="007A13C3"/>
    <w:rsid w:val="007A14A8"/>
    <w:rsid w:val="007A6841"/>
    <w:rsid w:val="007B4C9B"/>
    <w:rsid w:val="007D5A9C"/>
    <w:rsid w:val="007D69A7"/>
    <w:rsid w:val="007E514B"/>
    <w:rsid w:val="0080411B"/>
    <w:rsid w:val="00815B5D"/>
    <w:rsid w:val="00841881"/>
    <w:rsid w:val="00854553"/>
    <w:rsid w:val="00870BA6"/>
    <w:rsid w:val="008A491D"/>
    <w:rsid w:val="008B4955"/>
    <w:rsid w:val="008F435F"/>
    <w:rsid w:val="00900C7B"/>
    <w:rsid w:val="00917801"/>
    <w:rsid w:val="0092289B"/>
    <w:rsid w:val="00927436"/>
    <w:rsid w:val="00962160"/>
    <w:rsid w:val="00963FCC"/>
    <w:rsid w:val="00964B55"/>
    <w:rsid w:val="009749F9"/>
    <w:rsid w:val="00992F9E"/>
    <w:rsid w:val="00995EEC"/>
    <w:rsid w:val="009B6AAE"/>
    <w:rsid w:val="009C6D1F"/>
    <w:rsid w:val="009D4B91"/>
    <w:rsid w:val="009E08AF"/>
    <w:rsid w:val="009F7309"/>
    <w:rsid w:val="009F7767"/>
    <w:rsid w:val="00A11153"/>
    <w:rsid w:val="00A143D1"/>
    <w:rsid w:val="00A2127D"/>
    <w:rsid w:val="00A37917"/>
    <w:rsid w:val="00A66803"/>
    <w:rsid w:val="00A801BF"/>
    <w:rsid w:val="00A828B4"/>
    <w:rsid w:val="00A912FC"/>
    <w:rsid w:val="00A947EF"/>
    <w:rsid w:val="00AA45BE"/>
    <w:rsid w:val="00AC07BB"/>
    <w:rsid w:val="00AE30E5"/>
    <w:rsid w:val="00AE455C"/>
    <w:rsid w:val="00AE7918"/>
    <w:rsid w:val="00B02F56"/>
    <w:rsid w:val="00B06DD6"/>
    <w:rsid w:val="00B14EBC"/>
    <w:rsid w:val="00B17543"/>
    <w:rsid w:val="00B3063B"/>
    <w:rsid w:val="00B43601"/>
    <w:rsid w:val="00B47F96"/>
    <w:rsid w:val="00B76303"/>
    <w:rsid w:val="00B87289"/>
    <w:rsid w:val="00BB759C"/>
    <w:rsid w:val="00BC3314"/>
    <w:rsid w:val="00BC7E6A"/>
    <w:rsid w:val="00BD29B2"/>
    <w:rsid w:val="00BD586B"/>
    <w:rsid w:val="00BE26FB"/>
    <w:rsid w:val="00BE6E85"/>
    <w:rsid w:val="00BF0ED2"/>
    <w:rsid w:val="00C00F08"/>
    <w:rsid w:val="00C02AF0"/>
    <w:rsid w:val="00C142A8"/>
    <w:rsid w:val="00C230CB"/>
    <w:rsid w:val="00C30AE9"/>
    <w:rsid w:val="00C320A9"/>
    <w:rsid w:val="00C60B48"/>
    <w:rsid w:val="00C75139"/>
    <w:rsid w:val="00C91DDB"/>
    <w:rsid w:val="00CA1D90"/>
    <w:rsid w:val="00CB290D"/>
    <w:rsid w:val="00CD3FD7"/>
    <w:rsid w:val="00CD49FA"/>
    <w:rsid w:val="00CD65AA"/>
    <w:rsid w:val="00CD766A"/>
    <w:rsid w:val="00CD77B9"/>
    <w:rsid w:val="00CE64A4"/>
    <w:rsid w:val="00CF05D3"/>
    <w:rsid w:val="00D02606"/>
    <w:rsid w:val="00D0514A"/>
    <w:rsid w:val="00D13632"/>
    <w:rsid w:val="00D35091"/>
    <w:rsid w:val="00D4328A"/>
    <w:rsid w:val="00D4396D"/>
    <w:rsid w:val="00D5029F"/>
    <w:rsid w:val="00D60041"/>
    <w:rsid w:val="00D62508"/>
    <w:rsid w:val="00D72D15"/>
    <w:rsid w:val="00D91003"/>
    <w:rsid w:val="00DA1785"/>
    <w:rsid w:val="00DA4B4E"/>
    <w:rsid w:val="00DB539F"/>
    <w:rsid w:val="00DB6CC1"/>
    <w:rsid w:val="00DC35D1"/>
    <w:rsid w:val="00DC559A"/>
    <w:rsid w:val="00DE456D"/>
    <w:rsid w:val="00DF36B0"/>
    <w:rsid w:val="00E015EC"/>
    <w:rsid w:val="00E3333F"/>
    <w:rsid w:val="00E40A86"/>
    <w:rsid w:val="00E419FE"/>
    <w:rsid w:val="00E52153"/>
    <w:rsid w:val="00E56EEA"/>
    <w:rsid w:val="00E57EF9"/>
    <w:rsid w:val="00E61BE7"/>
    <w:rsid w:val="00E661C7"/>
    <w:rsid w:val="00E85FDE"/>
    <w:rsid w:val="00E940EB"/>
    <w:rsid w:val="00E94D66"/>
    <w:rsid w:val="00E96644"/>
    <w:rsid w:val="00E974FA"/>
    <w:rsid w:val="00ED4F35"/>
    <w:rsid w:val="00ED7BAE"/>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72C33"/>
    <w:rsid w:val="00F7333F"/>
    <w:rsid w:val="00F77A03"/>
    <w:rsid w:val="00F84DA1"/>
    <w:rsid w:val="00F96926"/>
    <w:rsid w:val="00F9751B"/>
    <w:rsid w:val="00FA00F2"/>
    <w:rsid w:val="00FA79F7"/>
    <w:rsid w:val="00FB4059"/>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3050C-DA43-4642-AAE8-93590639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4253</Words>
  <Characters>23394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27592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4</cp:revision>
  <cp:lastPrinted>2018-11-22T01:33:00Z</cp:lastPrinted>
  <dcterms:created xsi:type="dcterms:W3CDTF">2018-11-22T01:33:00Z</dcterms:created>
  <dcterms:modified xsi:type="dcterms:W3CDTF">2018-12-18T02:04:00Z</dcterms:modified>
</cp:coreProperties>
</file>